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color w:val="00206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8"/>
          <w:szCs w:val="28"/>
          <w:rtl w:val="0"/>
        </w:rPr>
        <w:t xml:space="preserve">ACADÉMICA DE APRENDIZAJE CONTINUO Y ACTUALIZACIÓN</w:t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color w:val="00206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4"/>
          <w:szCs w:val="24"/>
          <w:rtl w:val="0"/>
        </w:rPr>
        <w:t xml:space="preserve">PROGRAMA DE DIPLOMADOS DE ALTO RENDIMIENTO</w:t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color w:val="00206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4"/>
          <w:szCs w:val="24"/>
          <w:rtl w:val="0"/>
        </w:rPr>
        <w:t xml:space="preserve">Guión instruccional para el desarrollo del diplomado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4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462"/>
        <w:tblGridChange w:id="0">
          <w:tblGrid>
            <w:gridCol w:w="1980"/>
            <w:gridCol w:w="8462"/>
          </w:tblGrid>
        </w:tblGridChange>
      </w:tblGrid>
      <w:tr>
        <w:trPr>
          <w:cantSplit w:val="0"/>
          <w:trHeight w:val="65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2f5496" w:val="clear"/>
          </w:tcPr>
          <w:p w:rsidR="00000000" w:rsidDel="00000000" w:rsidP="00000000" w:rsidRDefault="00000000" w:rsidRPr="00000000" w14:paraId="00000006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Nombre del diplomado</w:t>
            </w:r>
          </w:p>
          <w:p w:rsidR="00000000" w:rsidDel="00000000" w:rsidP="00000000" w:rsidRDefault="00000000" w:rsidRPr="00000000" w14:paraId="00000008">
            <w:pPr>
              <w:spacing w:after="160" w:line="259" w:lineRule="auto"/>
              <w:rPr>
                <w:rFonts w:ascii="Arial" w:cs="Arial" w:eastAsia="Arial" w:hAnsi="Arial"/>
                <w:b w:val="0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  <w:color w:val="800000"/>
              </w:rPr>
            </w:pPr>
            <w:r w:rsidDel="00000000" w:rsidR="00000000" w:rsidRPr="00000000">
              <w:rPr>
                <w:rFonts w:ascii="Arial" w:cs="Arial" w:eastAsia="Arial" w:hAnsi="Arial"/>
                <w:color w:val="800000"/>
                <w:u w:val="single"/>
                <w:rtl w:val="0"/>
              </w:rPr>
              <w:t xml:space="preserve">Fisioterapia Pediátrica y estimulación temprana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color w:val="8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505"/>
        <w:tblGridChange w:id="0">
          <w:tblGrid>
            <w:gridCol w:w="1980"/>
            <w:gridCol w:w="8505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0B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Nombre de la unidad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ind w:left="70" w:firstLine="0"/>
              <w:jc w:val="both"/>
              <w:rPr>
                <w:rFonts w:ascii="Arial" w:cs="Arial" w:eastAsia="Arial" w:hAnsi="Arial"/>
                <w:b w:val="0"/>
                <w:i w:val="1"/>
                <w:color w:val="80808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Arial" w:cs="Arial" w:eastAsia="Arial" w:hAnsi="Arial"/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rFonts w:ascii="Arial" w:cs="Arial" w:eastAsia="Arial" w:hAnsi="Arial"/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u w:val="single"/>
                <w:rtl w:val="0"/>
              </w:rPr>
              <w:t xml:space="preserve">Sesión 4: Trastornos Neuromotores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ind w:left="2127" w:firstLine="0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2">
            <w:pPr>
              <w:spacing w:after="160" w:line="259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Introducción del Bloque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0" w:firstLine="0"/>
              <w:jc w:val="both"/>
              <w:rPr>
                <w:rFonts w:ascii="Arial" w:cs="Arial" w:eastAsia="Arial" w:hAnsi="Arial"/>
                <w:b w:val="1"/>
                <w:color w:val="8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ind w:left="0" w:firstLine="0"/>
              <w:jc w:val="left"/>
              <w:rPr>
                <w:rFonts w:ascii="Arial" w:cs="Arial" w:eastAsia="Arial" w:hAnsi="Arial"/>
                <w:b w:val="1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ind w:left="70" w:firstLine="0"/>
              <w:jc w:val="both"/>
              <w:rPr>
                <w:rFonts w:ascii="Arial" w:cs="Arial" w:eastAsia="Arial" w:hAnsi="Arial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Este módulo tiene como objetivo abordar los fundamentos teóricos, fisiopatológicos y las estrategias de intervención de las principales patologías neurológicas que afectan a la población pediátrica. A lo largo de la clase, profundizaremos en el reconocimiento temprano y la importancia de las valoraciones del desarrollo infantil y elementos clave para una intervención fisioterapéutica oportuna y efectiva.</w:t>
            </w:r>
          </w:p>
          <w:p w:rsidR="00000000" w:rsidDel="00000000" w:rsidP="00000000" w:rsidRDefault="00000000" w:rsidRPr="00000000" w14:paraId="00000019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Nos centraremos en trastornos complejos como la parálisis cerebral, los trastornos del espectro autista (TEA), y enfermedades neuromusculares como las distrofias musculares y la atrofia muscular espinal. Estudiaremos sus características clínicas, el proceso de evaluación y las opciones terapéuticas disponibles. La comprensión integral de estos trastornos será fundamental para brindar un abordaje clínico adecuado que favorezca la calidad de vida de los niños con dichas condiciones. </w:t>
            </w:r>
          </w:p>
          <w:p w:rsidR="00000000" w:rsidDel="00000000" w:rsidP="00000000" w:rsidRDefault="00000000" w:rsidRPr="00000000" w14:paraId="0000001A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Por último, presentaremos casos clínicos para el fortalecimiento de la aplicación de las herramientas de evaluación e intervención disponibles con la evidencia y rigor científico de la actualidad.</w:t>
            </w:r>
          </w:p>
        </w:tc>
      </w:tr>
      <w:tr>
        <w:trPr>
          <w:cantSplit w:val="0"/>
          <w:trHeight w:val="2308.828125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B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Objetivo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keepNext w:val="1"/>
              <w:keepLines w:val="1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highlight w:val="white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1"/>
              <w:keepLines w:val="1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1"/>
              <w:keepLines w:val="1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i w:val="0"/>
                <w:smallCaps w:val="0"/>
                <w:strike w:val="0"/>
                <w:color w:val="0070c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Analizar</w:t>
            </w: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 los trastornos neuromotores en la población pediátrica, </w:t>
            </w: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para i</w:t>
            </w: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dentificar sus características clínicas y fisiopatológicas,</w:t>
            </w: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 a través de la revisión de casos clínicos, el uso de escalas de evaluación del desarrollo infantil y la aplicación de intervenciones terapéuticas específicas, con el fin de proporcionar una atención integral basada en evidencia para esta población.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22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Lecturas y recursos a revisar previo a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Para el correcto desarrollo del módulo de “Transtornos Neuromotores”, les invito a revisar la siguiente bibliografía que será de mucha ayuda para los casos clínicos que revisaremos según las patologías. 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Parálisis Cerebral: 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Guía clínica para la intervención fisioterapéutica en niños con parálisis cerebral:  Jackman, M., Sakzewski, L., Morgan, C., Boyd, R. N., Brennan, S. E., Langdon, K., Toovey, R. A. M., Greaves, S., Thorley, M., &amp; Novak, I. (2021).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Interventions to improve physical function for children and young people with cerebral palsy: International clinical practice guideline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Developmental Medicine &amp; Child Neurology, 64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(5), 536-549. </w:t>
            </w:r>
            <w:hyperlink r:id="rId7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https://doi.org/10.1111/dmcn.15055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Exámen físico para niños con Parálisis Cerebral: Novacheck, T. F., Trost, J. P., &amp; Sohrweide, S. (2010). Examination of the child with cerebral palsy.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Orthopedic Clinics of North America, 41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(4), 469-488. </w:t>
            </w:r>
            <w:hyperlink r:id="rId8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https://doi.org/10.1016/j.ocl.2010.07.001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Atrofia Muscular Espinal: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Escala valoración AME: Biogen Spain, S.L. (2017).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Prueba de trastornos neuromusculares para pacientes en edad infantil del Children’s Hospital of Philadelphia (CHOP INTEND)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Manual de procedimientos y escalas. Biogen Spain, S.L. https://www.biogen.es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TEA: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Discapacidad y desarrollo infantil: Integración de conceptos. </w:t>
            </w:r>
            <w:hyperlink r:id="rId9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https://canchild.ca/resources/35-disability-and-child-development-integrating-the-concepts/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Lecturas sugeridas para el transtorno del desarrollo de la coordinación: </w:t>
            </w:r>
            <w:hyperlink r:id="rId10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https://canchild.ca/resources/99-suggested-readings-for-developmental-coordination-disorder/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31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Videos temáticos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jc w:val="left"/>
              <w:rPr>
                <w:rFonts w:ascii="Arial" w:cs="Arial" w:eastAsia="Arial" w:hAnsi="Arial"/>
                <w:b w:val="1"/>
                <w:color w:val="c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TEA: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Este video está diseñado para responder preguntas básicas sobre el ACSF, explicando aspectos como el propósito de la herramienta, los cinco niveles y cómo se califica a un niño o joven. Visita nuestro sitio web para obtener más información:</w:t>
            </w:r>
            <w:hyperlink r:id="rId11">
              <w:r w:rsidDel="00000000" w:rsidR="00000000" w:rsidRPr="00000000">
                <w:rPr>
                  <w:rFonts w:ascii="Arial" w:cs="Arial" w:eastAsia="Arial" w:hAnsi="Arial"/>
                  <w:rtl w:val="0"/>
                </w:rPr>
                <w:t xml:space="preserve"> </w:t>
              </w:r>
            </w:hyperlink>
            <w:hyperlink r:id="rId12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https://vimeo.com/650358173?fl=pl&amp;fe=sh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ind w:left="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ind w:left="0" w:firstLine="0"/>
              <w:jc w:val="both"/>
              <w:rPr>
                <w:rFonts w:ascii="Arial" w:cs="Arial" w:eastAsia="Arial" w:hAnsi="Arial"/>
              </w:rPr>
            </w:pPr>
            <w:hyperlink r:id="rId13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https://canchild.ca/en/resources/254-autism-classification-system-of-functioning-social-communication-acsf-sc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C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Parálisis Cerebral: </w:t>
            </w:r>
            <w:hyperlink r:id="rId14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https://vimeo.com/141592022?fl=pl&amp;fe=sh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3F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Bibliografía complementaria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2">
            <w:pPr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Apostolopoulou, V., Tsagkaris, C., Thomaidis, T., Apostolaki, E., &amp; Alimisis, G. (2023).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The effects of neuromuscular electrical stimulation and physiotherapy on children with spinal muscular atrophy treated with nusinersen: A case study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Life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13(2), 449. https://doi.org/10.3390/life13020449</w:t>
              <w:br w:type="textWrapping"/>
            </w:r>
          </w:p>
          <w:p w:rsidR="00000000" w:rsidDel="00000000" w:rsidP="00000000" w:rsidRDefault="00000000" w:rsidRPr="00000000" w14:paraId="00000044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Gawel, M., Huzarska, M., Miszczuk, D., &amp; Marchel, A. (2022).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The effect of nusinersen therapy and physical rehabilitation on motor function in spinal muscular atrophy patients: A preliminary study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Frontiers in Bioscience-Landmark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27(6), 179. https://doi.org/10.31083/j.fbl2706179</w:t>
              <w:br w:type="textWrapping"/>
            </w:r>
          </w:p>
          <w:p w:rsidR="00000000" w:rsidDel="00000000" w:rsidP="00000000" w:rsidRDefault="00000000" w:rsidRPr="00000000" w14:paraId="0000004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Yatsenko, V. S., Ivanova, M. Y., Konovalova, E. A., &amp; Kostina, N. V. (2023).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Clinical assessment of the effectiveness of a rehabilitation program for children and adolescents with spinal muscular atrophy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Neuroscience and Behavioral Physiology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53(4), 506–514. https://doi.org/10.1007/s11055-023-01454-5</w:t>
              <w:br w:type="textWrapping"/>
            </w:r>
          </w:p>
          <w:p w:rsidR="00000000" w:rsidDel="00000000" w:rsidP="00000000" w:rsidRDefault="00000000" w:rsidRPr="00000000" w14:paraId="0000004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Li, D., Wang, Z., Li, L., Zhang, Y., &amp; Liu, Y. (2023).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Factors influencing health-related quality of life among patients with spinal muscular atrophy in China: A cross-sectional study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Orphanet Journal of Rare Diseases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18, Article 297. https://doi.org/10.1186/s13023-023-02880-2</w:t>
              <w:br w:type="textWrapping"/>
            </w:r>
          </w:p>
          <w:p w:rsidR="00000000" w:rsidDel="00000000" w:rsidP="00000000" w:rsidRDefault="00000000" w:rsidRPr="00000000" w14:paraId="0000004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Reyes, L. R., &amp; del Mar Vallejo, M. (2020).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Intervención fisioterápica en medio acuático en atrofia muscular espinal tipo II: A propósito de un caso clínico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Revista Sanitaria de Investigación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2(6), 25–34. https://revistasanitariadeinvestigacion.com/intervencion-fisioterapica-en-medio-acuatico-en-atrofia-muscular-espinal-tipo-ii-a-proposito-de-un-caso-clinico/</w:t>
              <w:br w:type="textWrapping"/>
            </w:r>
          </w:p>
          <w:p w:rsidR="00000000" w:rsidDel="00000000" w:rsidP="00000000" w:rsidRDefault="00000000" w:rsidRPr="00000000" w14:paraId="00000048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Maranesi, E., Magosso, E., Polidori, D., &amp; Formica, D. (2025).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Assistive technologies and innovative rehabilitation tools in spinal muscular atrophy: A narrative review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Applied Sciences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15(8), 4398. https://doi.org/10.3390/app15084398</w:t>
              <w:br w:type="textWrapping"/>
            </w:r>
          </w:p>
          <w:p w:rsidR="00000000" w:rsidDel="00000000" w:rsidP="00000000" w:rsidRDefault="00000000" w:rsidRPr="00000000" w14:paraId="00000049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García, J., Rivas, L., &amp; Cedeño, P. (2024).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Mejoras funcionales en paciente pediátrico con AME tipo II tras 48 semanas de fisioterapia en entorno escolar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Journal of Pediatric Rehabilitation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6(1), 12–18. https://pubmed.ncbi.nlm.nih.gov/38007681</w:t>
            </w:r>
          </w:p>
          <w:p w:rsidR="00000000" w:rsidDel="00000000" w:rsidP="00000000" w:rsidRDefault="00000000" w:rsidRPr="00000000" w14:paraId="0000004A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br w:type="textWrapping"/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4B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after="160" w:line="259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Actividad de integración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jc w:val="left"/>
              <w:rPr>
                <w:rFonts w:ascii="Arial" w:cs="Arial" w:eastAsia="Arial" w:hAnsi="Arial"/>
                <w:color w:val="0070c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🕒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1. Actividad inicial</w:t>
            </w:r>
          </w:p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Propósito: Brindar contexto y activar conocimientos previos.</w:t>
            </w:r>
          </w:p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Acción del docente: 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Explicar el objetivo y el contenido de la sesión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Motivar al grupo con una breve presentación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y presentar tablero de Padlet: </w:t>
            </w:r>
            <w:hyperlink r:id="rId15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https://padlet.com/andreog09/actividad-inicial-ubkvqz03a0o84iv4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🧠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2. Actividad colaborativa</w:t>
            </w:r>
          </w:p>
          <w:p w:rsidR="00000000" w:rsidDel="00000000" w:rsidP="00000000" w:rsidRDefault="00000000" w:rsidRPr="00000000" w14:paraId="0000005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Propósito: Integrar y correlacionar conocimientos expuestos por cada patología.</w:t>
            </w:r>
          </w:p>
          <w:p w:rsidR="00000000" w:rsidDel="00000000" w:rsidP="00000000" w:rsidRDefault="00000000" w:rsidRPr="00000000" w14:paraId="0000005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Acción del docente y el alumno:</w:t>
            </w:r>
          </w:p>
          <w:p w:rsidR="00000000" w:rsidDel="00000000" w:rsidP="00000000" w:rsidRDefault="00000000" w:rsidRPr="00000000" w14:paraId="0000006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Actividad ruleta: </w:t>
            </w:r>
            <w:hyperlink r:id="rId16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https://wheelofnames.com/</w:t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Participar activamente en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el desarrollo de los casos clínicos por grupos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Sala virtual independiente para desarrollo del caso clínico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La actividad durará 20 minutos, por lo que los últimos 5 podrán hacer preguntas a la docente para aclarar dudas o revisar el desarrollo del mismo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💬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3. Cierre o Conclusión</w:t>
            </w:r>
          </w:p>
          <w:p w:rsidR="00000000" w:rsidDel="00000000" w:rsidP="00000000" w:rsidRDefault="00000000" w:rsidRPr="00000000" w14:paraId="0000006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Propósito: Compartir aprendizajes y reflexionar en colectivo.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Acción del estudiante: Exponer brevemente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el desarrollo del caso clínico al estudiante.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Acción del docente: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Sintetizar aprendizajes, resaltar aspectos claves de cada caso clínico y determinar mejores estrategias de abordaje terapéutico.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  <w:color w:val="0070c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6B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Se realizará una evaluación de 15 preguntas en Google forms donde se ha ponderado las evaluaciones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8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firstLine="0"/>
              <w:rPr>
                <w:rFonts w:ascii="Arial" w:cs="Arial" w:eastAsia="Arial" w:hAnsi="Arial"/>
                <w:b w:val="1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78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Conclusiones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*Instrucción para el docente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Redacte un texto de cierre en el que: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 refuercen los aprendizajes clave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 reconozca el esfuerzo del estudiante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 prepare al estudiante para el siguiente bloque o sesión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Ejemplo: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 esta sesión abordamos los fundamentos de la evaluación formativa. Recuerda que su propósito es acompañar el proceso de aprendizaje con retroalimentación constante….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7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footerReference r:id="rId17" w:type="default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1"/>
        <w:strike w:val="0"/>
        <w:color w:val="4472c4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1"/>
        <w:strike w:val="0"/>
        <w:color w:val="4472c4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spacing w:after="0" w:line="240" w:lineRule="auto"/>
      <w:jc w:val="center"/>
    </w:pPr>
    <w:rPr>
      <w:rFonts w:ascii="Roboto" w:cs="Roboto" w:eastAsia="Roboto" w:hAnsi="Roboto"/>
      <w:color w:val="ffffff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472c4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 w:val="1"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 w:val="1"/>
    <w:uiPriority w:val="99"/>
    <w:semiHidden w:val="1"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aconcuadrcula4-nfasis51" w:customStyle="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color="9cc2e5" w:space="0" w:sz="4" w:themeColor="accent5" w:themeTint="000099" w:val="single"/>
        <w:left w:color="9cc2e5" w:space="0" w:sz="4" w:themeColor="accent5" w:themeTint="000099" w:val="single"/>
        <w:bottom w:color="9cc2e5" w:space="0" w:sz="4" w:themeColor="accent5" w:themeTint="000099" w:val="single"/>
        <w:right w:color="9cc2e5" w:space="0" w:sz="4" w:themeColor="accent5" w:themeTint="000099" w:val="single"/>
        <w:insideH w:color="9cc2e5" w:space="0" w:sz="4" w:themeColor="accent5" w:themeTint="000099" w:val="single"/>
        <w:insideV w:color="9cc2e5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5b9bd5" w:space="0" w:sz="4" w:themeColor="accent5" w:val="single"/>
          <w:left w:color="5b9bd5" w:space="0" w:sz="4" w:themeColor="accent5" w:val="single"/>
          <w:bottom w:color="5b9bd5" w:space="0" w:sz="4" w:themeColor="accent5" w:val="single"/>
          <w:right w:color="5b9bd5" w:space="0" w:sz="4" w:themeColor="accent5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lastRow">
      <w:rPr>
        <w:b w:val="1"/>
        <w:bCs w:val="1"/>
      </w:rPr>
      <w:tblPr/>
      <w:tcPr>
        <w:tcBorders>
          <w:top w:color="5b9bd5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eeaf6" w:themeFill="accent5" w:themeFillTint="000033" w:val="clear"/>
      </w:tcPr>
    </w:tblStylePr>
    <w:tblStylePr w:type="band1Horz">
      <w:tblPr/>
      <w:tcPr>
        <w:shd w:color="auto" w:fill="deeaf6" w:themeFill="accent5" w:themeFillTint="000033" w:val="clear"/>
      </w:tcPr>
    </w:tblStylePr>
  </w:style>
  <w:style w:type="table" w:styleId="Tablaconcuadrcula5oscura-nfasis11" w:customStyle="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9e2f3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72c4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72c4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4472c4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4472c4" w:themeFill="accent1" w:val="clear"/>
      </w:tcPr>
    </w:tblStylePr>
    <w:tblStylePr w:type="band1Vert">
      <w:tblPr/>
      <w:tcPr>
        <w:shd w:color="auto" w:fill="b4c6e7" w:themeFill="accent1" w:themeFillTint="000066" w:val="clear"/>
      </w:tcPr>
    </w:tblStylePr>
    <w:tblStylePr w:type="band1Horz">
      <w:tblPr/>
      <w:tcPr>
        <w:shd w:color="auto" w:fill="b4c6e7" w:themeFill="accent1" w:themeFillTint="000066" w:val="clear"/>
      </w:tcPr>
    </w:tblStylePr>
  </w:style>
  <w:style w:type="table" w:styleId="Tablaconcuadrcula5oscura-nfasis51" w:customStyle="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eeaf6" w:themeFill="accent5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5b9bd5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5b9bd5" w:themeFill="accent5" w:val="clear"/>
      </w:tcPr>
    </w:tblStylePr>
    <w:tblStylePr w:type="band1Vert">
      <w:tblPr/>
      <w:tcPr>
        <w:shd w:color="auto" w:fill="bdd6ee" w:themeFill="accent5" w:themeFillTint="000066" w:val="clear"/>
      </w:tcPr>
    </w:tblStylePr>
    <w:tblStylePr w:type="band1Horz">
      <w:tblPr/>
      <w:tcPr>
        <w:shd w:color="auto" w:fill="bdd6ee" w:themeFill="accent5" w:themeFillTint="000066" w:val="clear"/>
      </w:tcPr>
    </w:tblStylePr>
  </w:style>
  <w:style w:type="paragraph" w:styleId="NormalWeb">
    <w:name w:val="Normal (Web)"/>
    <w:basedOn w:val="Normal"/>
    <w:uiPriority w:val="99"/>
    <w:unhideWhenUsed w:val="1"/>
    <w:rsid w:val="00EF389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 w:val="1"/>
    <w:rsid w:val="009E2580"/>
    <w:pPr>
      <w:ind w:left="720"/>
      <w:contextualSpacing w:val="1"/>
    </w:pPr>
  </w:style>
  <w:style w:type="character" w:styleId="Hipervnculo">
    <w:name w:val="Hyperlink"/>
    <w:basedOn w:val="Fuentedeprrafopredeter"/>
    <w:uiPriority w:val="99"/>
    <w:unhideWhenUsed w:val="1"/>
    <w:rsid w:val="008D30E3"/>
    <w:rPr>
      <w:color w:val="0563c1" w:themeColor="hyperlink"/>
      <w:u w:val="single"/>
    </w:rPr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rsid w:val="008D30E3"/>
    <w:rPr>
      <w:color w:val="605e5c"/>
      <w:shd w:color="auto" w:fill="e1dfdd" w:val="clear"/>
    </w:rPr>
  </w:style>
  <w:style w:type="character" w:styleId="apple-tab-span" w:customStyle="1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10600B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10600B"/>
    <w:rPr>
      <w:rFonts w:ascii="Segoe UI" w:cs="Segoe UI" w:hAnsi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 w:val="1"/>
    <w:rsid w:val="00811C4F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811C4F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811C4F"/>
    <w:rPr>
      <w:b w:val="1"/>
      <w:bCs w:val="1"/>
      <w:sz w:val="20"/>
      <w:szCs w:val="20"/>
    </w:rPr>
  </w:style>
  <w:style w:type="character" w:styleId="Mencinsinresolver2" w:customStyle="1">
    <w:name w:val="Mención sin resolver2"/>
    <w:basedOn w:val="Fuentedeprrafopredeter"/>
    <w:uiPriority w:val="99"/>
    <w:semiHidden w:val="1"/>
    <w:unhideWhenUsed w:val="1"/>
    <w:rsid w:val="009405E0"/>
    <w:rPr>
      <w:color w:val="605e5c"/>
      <w:shd w:color="auto" w:fill="e1dfdd" w:val="clear"/>
    </w:rPr>
  </w:style>
  <w:style w:type="character" w:styleId="Ttulo1Car" w:customStyle="1">
    <w:name w:val="Título 1 Car"/>
    <w:basedOn w:val="Fuentedeprrafopredeter"/>
    <w:link w:val="Ttulo1"/>
    <w:rsid w:val="000211A8"/>
    <w:rPr>
      <w:rFonts w:ascii="Roboto" w:cs="Roboto" w:eastAsia="Roboto" w:hAnsi="Roboto"/>
      <w:color w:val="ffffff"/>
      <w:sz w:val="24"/>
      <w:szCs w:val="24"/>
      <w:lang w:eastAsia="es-MX" w:val="es-ES_tradnl"/>
    </w:rPr>
  </w:style>
  <w:style w:type="paragraph" w:styleId="Standard" w:customStyle="1">
    <w:name w:val="Standard"/>
    <w:rsid w:val="00BE0067"/>
    <w:pPr>
      <w:suppressAutoHyphens w:val="1"/>
      <w:autoSpaceDN w:val="0"/>
      <w:spacing w:after="0" w:line="240" w:lineRule="auto"/>
      <w:textAlignment w:val="baseline"/>
    </w:pPr>
    <w:rPr>
      <w:rFonts w:ascii="Cambria" w:cs="Cambria" w:eastAsia="Cambria" w:hAnsi="Cambria"/>
      <w:kern w:val="3"/>
      <w:sz w:val="24"/>
      <w:szCs w:val="24"/>
      <w:lang w:eastAsia="es-MX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0D06AA"/>
    <w:rPr>
      <w:rFonts w:asciiTheme="majorHAnsi" w:cstheme="majorBidi" w:eastAsiaTheme="majorEastAsia" w:hAnsiTheme="majorHAnsi"/>
      <w:b w:val="1"/>
      <w:bCs w:val="1"/>
      <w:color w:val="4472c4" w:themeColor="accent1"/>
      <w:sz w:val="26"/>
      <w:szCs w:val="26"/>
    </w:rPr>
  </w:style>
  <w:style w:type="paragraph" w:styleId="Sinespaciado">
    <w:name w:val="No Spacing"/>
    <w:uiPriority w:val="1"/>
    <w:qFormat w:val="1"/>
    <w:rsid w:val="006676C4"/>
    <w:pPr>
      <w:spacing w:after="0" w:line="240" w:lineRule="auto"/>
    </w:pPr>
  </w:style>
  <w:style w:type="numbering" w:styleId="WWNum12" w:customStyle="1">
    <w:name w:val="WWNum12"/>
    <w:basedOn w:val="Sinlista"/>
    <w:rsid w:val="003B327B"/>
    <w:pPr>
      <w:numPr>
        <w:numId w:val="6"/>
      </w:numPr>
    </w:pPr>
  </w:style>
  <w:style w:type="numbering" w:styleId="WWNum18" w:customStyle="1">
    <w:name w:val="WWNum18"/>
    <w:basedOn w:val="Sinlista"/>
    <w:rsid w:val="003B327B"/>
    <w:pPr>
      <w:numPr>
        <w:numId w:val="7"/>
      </w:numPr>
    </w:pPr>
  </w:style>
  <w:style w:type="numbering" w:styleId="WWNum21" w:customStyle="1">
    <w:name w:val="WWNum21"/>
    <w:basedOn w:val="Sinlista"/>
    <w:rsid w:val="003B327B"/>
    <w:pPr>
      <w:numPr>
        <w:numId w:val="8"/>
      </w:numPr>
    </w:pPr>
  </w:style>
  <w:style w:type="character" w:styleId="tl8wme" w:customStyle="1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 w:val="1"/>
    <w:unhideWhenUsed w:val="1"/>
    <w:rsid w:val="009353F6"/>
    <w:rPr>
      <w:color w:val="954f72" w:themeColor="followedHyperlink"/>
      <w:u w:val="singl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9e2f3" w:val="clear"/>
    </w:tcPr>
    <w:tblStylePr w:type="band1Horz">
      <w:tcPr>
        <w:shd w:fill="b4c6e7" w:val="clear"/>
      </w:tcPr>
    </w:tblStylePr>
    <w:tblStylePr w:type="band1Vert">
      <w:tcPr>
        <w:shd w:fill="b4c6e7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4472c4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4472c4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eebf6" w:val="clear"/>
    </w:tcPr>
    <w:tblStylePr w:type="band1Horz">
      <w:tcPr>
        <w:shd w:fill="bdd7ee" w:val="clear"/>
      </w:tcPr>
    </w:tblStylePr>
    <w:tblStylePr w:type="band1Vert">
      <w:tcPr>
        <w:shd w:fill="bdd7ee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5b9bd5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5b9bd5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9e2f3" w:val="clear"/>
    </w:tcPr>
    <w:tblStylePr w:type="band1Horz">
      <w:tcPr>
        <w:shd w:fill="b4c6e7" w:val="clear"/>
      </w:tcPr>
    </w:tblStylePr>
    <w:tblStylePr w:type="band1Vert">
      <w:tcPr>
        <w:shd w:fill="b4c6e7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4472c4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4472c4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eebf6" w:val="clear"/>
    </w:tcPr>
    <w:tblStylePr w:type="band1Horz">
      <w:tcPr>
        <w:shd w:fill="bdd7ee" w:val="clear"/>
      </w:tcPr>
    </w:tblStylePr>
    <w:tblStylePr w:type="band1Vert">
      <w:tcPr>
        <w:shd w:fill="bdd7ee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5b9bd5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5b9bd5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canchild.ca/en/resources/254-autism-classification-system-of-functioning-social-communication-acsf-sc" TargetMode="External"/><Relationship Id="rId10" Type="http://schemas.openxmlformats.org/officeDocument/2006/relationships/hyperlink" Target="https://canchild.ca/resources/99-suggested-readings-for-developmental-coordination-disorder/" TargetMode="External"/><Relationship Id="rId13" Type="http://schemas.openxmlformats.org/officeDocument/2006/relationships/hyperlink" Target="https://canchild.ca/en/resources/254-autism-classification-system-of-functioning-social-communication-acsf-sc" TargetMode="External"/><Relationship Id="rId12" Type="http://schemas.openxmlformats.org/officeDocument/2006/relationships/hyperlink" Target="https://vimeo.com/650358173?fl=pl&amp;fe=sh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canchild.ca/resources/35-disability-and-child-development-integrating-the-concepts/" TargetMode="External"/><Relationship Id="rId15" Type="http://schemas.openxmlformats.org/officeDocument/2006/relationships/hyperlink" Target="https://padlet.com/andreog09/actividad-inicial-ubkvqz03a0o84iv4" TargetMode="External"/><Relationship Id="rId14" Type="http://schemas.openxmlformats.org/officeDocument/2006/relationships/hyperlink" Target="https://vimeo.com/141592022?fl=pl&amp;fe=sh" TargetMode="External"/><Relationship Id="rId17" Type="http://schemas.openxmlformats.org/officeDocument/2006/relationships/footer" Target="footer1.xml"/><Relationship Id="rId16" Type="http://schemas.openxmlformats.org/officeDocument/2006/relationships/hyperlink" Target="https://wheelofnames.com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i.org/10.1111/dmcn.15055" TargetMode="External"/><Relationship Id="rId8" Type="http://schemas.openxmlformats.org/officeDocument/2006/relationships/hyperlink" Target="https://doi.org/10.1016/j.ocl.2010.07.001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mrlYgG26SOE4QghUiyUSDDEa/g==">CgMxLjA4AHIhMVRocmZjSXRRd21adWxZeDFtS2w5ajFuNUVXamk0NzdM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2025-05-27T04:46:00Z</dcterms:created>
  <dc:creator>Viviana Toledo Aranda</dc:creator>
</cp:coreProperties>
</file>