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353679" cy="29792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75511" y="3771454"/>
                          <a:ext cx="6340979" cy="17092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6353679" cy="29792"/>
                <wp:effectExtent b="0" l="0" r="0" t="0"/>
                <wp:wrapNone/>
                <wp:docPr id="1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3679" cy="2979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left="567" w:right="0" w:firstLine="0"/>
        <w:jc w:val="center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2f5496"/>
          <w:rtl w:val="0"/>
        </w:rPr>
        <w:t xml:space="preserve">NUTRICIÓN EN CUIDADOS PALIATIVOS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1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La autora afirma: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La nutrición, junto con el control de síntomas y dolor, es uno de los aspectos más importantes de tratamiento en el paciente y es esencial para cubrir los requerimientos fisiológicos, pero también por el beneficio social, cultural y psicológico que conlleva para estos pacientes y sus cuidadores.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La nutrición debe suministrarse en función de lo tolerado, no de lo deseado.</w:t>
      </w:r>
    </w:p>
    <w:p w:rsidR="00000000" w:rsidDel="00000000" w:rsidP="00000000" w:rsidRDefault="00000000" w:rsidRPr="00000000" w14:paraId="00000006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monitorización del proceso de alimentación, que se hace solo por parte del nutricionista, proporcionará una base sobre la que elaborar y mantener asistencia, apoyo y servicio nutricional óptimo.</w:t>
      </w:r>
    </w:p>
    <w:p w:rsidR="00000000" w:rsidDel="00000000" w:rsidP="00000000" w:rsidRDefault="00000000" w:rsidRPr="00000000" w14:paraId="00000007">
      <w:pPr>
        <w:spacing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2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De la nutrición en Cuidados Paliativos, destaca:</w:t>
      </w:r>
    </w:p>
    <w:p w:rsidR="00000000" w:rsidDel="00000000" w:rsidP="00000000" w:rsidRDefault="00000000" w:rsidRPr="00000000" w14:paraId="00000008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La MPE no es un factor determinante de fragilidad.</w:t>
      </w:r>
    </w:p>
    <w:p w:rsidR="00000000" w:rsidDel="00000000" w:rsidP="00000000" w:rsidRDefault="00000000" w:rsidRPr="00000000" w14:paraId="00000009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malnutrición energético-proteica (MPE) es la forma más frecuente de malnutrición en el medio hospitalario. Es un cuadro clínico que se caracteriza por la alteración de la composición corporal en relación a los parámetros de referencia, ocasionado, fundamentalmente, por un desequilibrio entre la ingesta de nutrientes, su aprovechamiento y las necesidades nutricionales del individuo.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Su presencia solo ocasiona un prolongamiento de las estancias hospitalarias.</w:t>
      </w:r>
    </w:p>
    <w:p w:rsidR="00000000" w:rsidDel="00000000" w:rsidP="00000000" w:rsidRDefault="00000000" w:rsidRPr="00000000" w14:paraId="0000000B">
      <w:pPr>
        <w:spacing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3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Entre los factores de elevado riesgo nutricional durante la hospitalización:</w:t>
      </w:r>
    </w:p>
    <w:p w:rsidR="00000000" w:rsidDel="00000000" w:rsidP="00000000" w:rsidRDefault="00000000" w:rsidRPr="00000000" w14:paraId="0000000C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No existen algunos que sean inherentes a la hospitalización.</w:t>
      </w:r>
    </w:p>
    <w:p w:rsidR="00000000" w:rsidDel="00000000" w:rsidP="00000000" w:rsidRDefault="00000000" w:rsidRPr="00000000" w14:paraId="0000000D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No se incluye la existencia de ayuno prolongado/abuso de fluidoterapia intravenosa.</w:t>
      </w:r>
    </w:p>
    <w:p w:rsidR="00000000" w:rsidDel="00000000" w:rsidP="00000000" w:rsidRDefault="00000000" w:rsidRPr="00000000" w14:paraId="0000000E">
      <w:pPr>
        <w:spacing w:after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Se señalan, por ejemplo: los debidos al paciente y/o al tratamiento, la dificultad para la ingestión, digestión y absorción y la falta de valoración de las necesidades nutritivas específicas.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240" w:lineRule="auto"/>
        <w:ind w:left="0" w:right="0" w:firstLine="0"/>
        <w:jc w:val="left"/>
        <w:rPr>
          <w:rFonts w:ascii="Book Antiqua" w:cs="Book Antiqua" w:eastAsia="Book Antiqua" w:hAnsi="Book Antiqua"/>
          <w:b w:val="1"/>
          <w:color w:val="ff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4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Con respecto a la clasificación de la malnutrición energético-proteica, apunta:</w:t>
      </w:r>
    </w:p>
    <w:p w:rsidR="00000000" w:rsidDel="00000000" w:rsidP="00000000" w:rsidRDefault="00000000" w:rsidRPr="00000000" w14:paraId="00000011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ingesta insuficiente de energía y nutrientes tiene lugar debido únicamente a la falta de apetito.</w:t>
      </w:r>
    </w:p>
    <w:p w:rsidR="00000000" w:rsidDel="00000000" w:rsidP="00000000" w:rsidRDefault="00000000" w:rsidRPr="00000000" w14:paraId="00000012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La pérdida de nutrientes: suelen aparecer de forma frecuente problemas de mala digestión, absorción o metabolismo de determinados nutrientes, secundario a disminución o alteración en las secreciones digestivas, enfermedades inflamatorias intestinales, etc.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 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El aumento de las necesidades nutricionales: muy pocas enfermedades desencadenan procesos que generen un aumento en el metabolismo, con un mayor consumo de energía y nutrientes asociados. </w:t>
      </w:r>
    </w:p>
    <w:p w:rsidR="00000000" w:rsidDel="00000000" w:rsidP="00000000" w:rsidRDefault="00000000" w:rsidRPr="00000000" w14:paraId="00000014">
      <w:pPr>
        <w:spacing w:after="0"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5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De la repercusión de la MPE en el organismo, observa:</w:t>
      </w:r>
    </w:p>
    <w:p w:rsidR="00000000" w:rsidDel="00000000" w:rsidP="00000000" w:rsidRDefault="00000000" w:rsidRPr="00000000" w14:paraId="00000015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respuesta adaptativa del organismo ante un balance energético negativo se reduce a la movilización de la grasa subcutánea para obtener energía endógena, constituyendo la respuesta precoz, teniendo lugar el adelgazamiento.</w:t>
      </w:r>
    </w:p>
    <w:p w:rsidR="00000000" w:rsidDel="00000000" w:rsidP="00000000" w:rsidRDefault="00000000" w:rsidRPr="00000000" w14:paraId="00000016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La deficiencia de energía y micronutrientes, así como la depleción proteica, no afectan de forma multiorgánica.</w:t>
      </w:r>
    </w:p>
    <w:p w:rsidR="00000000" w:rsidDel="00000000" w:rsidP="00000000" w:rsidRDefault="00000000" w:rsidRPr="00000000" w14:paraId="00000017">
      <w:pPr>
        <w:spacing w:after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movilización de las reservas energéticas corporales conllevará a una pérdida progresiva de los depósitos orgánicos de resultados, primeramente subclínicos, para dar posteriormente alteraciones clínicas propias de un trastorno global o específico.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6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Sobre el tema de la detección precoz de desnutrición hospitalaria, aclara:</w:t>
      </w:r>
    </w:p>
    <w:p w:rsidR="00000000" w:rsidDel="00000000" w:rsidP="00000000" w:rsidRDefault="00000000" w:rsidRPr="00000000" w14:paraId="00000019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El Comité de Ministros del Consejo de Europa, sobre alimentación y asistencia nutricional en hospitales, dice que la valoración nutricional debe ser una herramienta imprescindible en la evaluación completa del paciente hospitalizado.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La valoración nutricional deberá ser precoz y adaptable solo a la siguiente circunstancia clínica de los pacientes: el sexo.</w:t>
      </w:r>
    </w:p>
    <w:p w:rsidR="00000000" w:rsidDel="00000000" w:rsidP="00000000" w:rsidRDefault="00000000" w:rsidRPr="00000000" w14:paraId="0000001B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</w:t>
      </w:r>
      <w:r w:rsidDel="00000000" w:rsidR="00000000" w:rsidRPr="00000000">
        <w:rPr>
          <w:rtl w:val="0"/>
        </w:rPr>
        <w:t xml:space="preserve"> la valoración global subjetiva (VSG) es la indicada en pacientes frágiles, que cuantifica el estado de nutrición según solo de los datos de la anamnesis.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40" w:lineRule="auto"/>
        <w:ind w:left="0" w:right="0" w:firstLine="0"/>
        <w:jc w:val="left"/>
        <w:rPr>
          <w:rFonts w:ascii="Book Antiqua" w:cs="Book Antiqua" w:eastAsia="Book Antiqua" w:hAnsi="Book Antiqua"/>
          <w:b w:val="1"/>
          <w:color w:val="ff000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7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En lo que respecta a la valoración nutricional, anota: </w:t>
      </w:r>
    </w:p>
    <w:p w:rsidR="00000000" w:rsidDel="00000000" w:rsidP="00000000" w:rsidRDefault="00000000" w:rsidRPr="00000000" w14:paraId="0000001E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Monitorizar el estado nutricional, simultáneamente atendiendo a otros aspectos de la atención sanitaria integral, es responsabilidad solo del nutricionista.</w:t>
      </w:r>
    </w:p>
    <w:p w:rsidR="00000000" w:rsidDel="00000000" w:rsidP="00000000" w:rsidRDefault="00000000" w:rsidRPr="00000000" w14:paraId="0000001F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La valoración del estado nutricional se fundamenta en diversos elementos de la historia clínica convencional, indicadores antropométricos, exploración física, con especial atención a los signos físicos de interés nutricional, análisis de la ingesta o estimación de los hábitos alimentarios.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ind w:left="0" w:right="0" w:firstLine="0"/>
        <w:rPr>
          <w:rFonts w:ascii="Book Antiqua" w:cs="Book Antiqua" w:eastAsia="Book Antiqua" w:hAnsi="Book Antiqua"/>
          <w:b w:val="1"/>
          <w:color w:val="ff0000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No se requieren otras intervenciones complementarias.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8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Sobre los objetivos, dice: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Algunos objetivos son: evitar la aparición de malnutrición, asegurar una correcta hidratación, evitar estreñimiento...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En la disfagia se sugiere mínima variedad alimentaria y favorecer platos como sopa de fideos.</w:t>
      </w:r>
    </w:p>
    <w:p w:rsidR="00000000" w:rsidDel="00000000" w:rsidP="00000000" w:rsidRDefault="00000000" w:rsidRPr="00000000" w14:paraId="00000024">
      <w:pPr>
        <w:spacing w:after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Ante la dificultad de reflujo gastroesofágico: comer rápidamente y realizar comidas poco frecuentes y de mucho volumen.</w:t>
      </w:r>
    </w:p>
    <w:p w:rsidR="00000000" w:rsidDel="00000000" w:rsidP="00000000" w:rsidRDefault="00000000" w:rsidRPr="00000000" w14:paraId="00000025">
      <w:pPr>
        <w:spacing w:after="0"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9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Añade:</w:t>
      </w:r>
    </w:p>
    <w:p w:rsidR="00000000" w:rsidDel="00000000" w:rsidP="00000000" w:rsidRDefault="00000000" w:rsidRPr="00000000" w14:paraId="00000026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Ante los vómitos, tomar alimentos aromáticos y acostarse inmediatamente después de comer.</w:t>
      </w:r>
    </w:p>
    <w:p w:rsidR="00000000" w:rsidDel="00000000" w:rsidP="00000000" w:rsidRDefault="00000000" w:rsidRPr="00000000" w14:paraId="00000027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En caso de fiebre: aumentar el consumo de azúcares.</w:t>
      </w:r>
    </w:p>
    <w:p w:rsidR="00000000" w:rsidDel="00000000" w:rsidP="00000000" w:rsidRDefault="00000000" w:rsidRPr="00000000" w14:paraId="00000028">
      <w:pPr>
        <w:spacing w:after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En la pérdida de apetito, realizar una dieta variada y atractiva para el paciente, con alimentos de alta densidad nutritiva y fáciles de consumir, por ejemplo.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10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De la terapéutica y los cuidados de la alimentación, expone: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Siempre que la vía digestiva pueda ser utilizada, total o parcialmente, la nutrición enteral será la de elección, es más fisiológica, la mucosa intestinal se recupera de forma más rápida, permitiendo mejor uso de nutrientes y adaptación oral más sencilla y económica, disminuyendo el riesgo de complicaciones, como infecciones.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forma de administración recomendable de la nutrición enteral no es la continua.</w:t>
      </w:r>
    </w:p>
    <w:p w:rsidR="00000000" w:rsidDel="00000000" w:rsidP="00000000" w:rsidRDefault="00000000" w:rsidRPr="00000000" w14:paraId="0000002C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La nutrición parenteral puede realizarse por vía central y no se asocia a una mejora de la esperanza de vida.</w:t>
      </w:r>
    </w:p>
    <w:p w:rsidR="00000000" w:rsidDel="00000000" w:rsidP="00000000" w:rsidRDefault="00000000" w:rsidRPr="00000000" w14:paraId="0000002D">
      <w:pPr>
        <w:spacing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11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En lo relacionado con las interacciones nutrientes-fármacos, indica:</w:t>
      </w:r>
    </w:p>
    <w:p w:rsidR="00000000" w:rsidDel="00000000" w:rsidP="00000000" w:rsidRDefault="00000000" w:rsidRPr="00000000" w14:paraId="0000002E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interacción fármaco-nutriente puede tener lugar en dos sentidos distintos: uno es el siguiente: Los fármacos modifican la utilización normal de los nutrientes. Este tipo de interacción es menos frecuente cuando el paciente realiza tratamientos crónicos de medicamentos.</w:t>
      </w:r>
    </w:p>
    <w:p w:rsidR="00000000" w:rsidDel="00000000" w:rsidP="00000000" w:rsidRDefault="00000000" w:rsidRPr="00000000" w14:paraId="0000002F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Los alimentos pueden modificar la respuesta farmacológica: puede verse afectada tanto la respuesta farmacológica como el valor nutritivo del alimento.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Los fármacos no interfieren en el paso de las vitaminas a su forma activa ni competir con ellas en algunas de las reacciones metabólicas en las que intervienen.</w:t>
      </w:r>
    </w:p>
    <w:p w:rsidR="00000000" w:rsidDel="00000000" w:rsidP="00000000" w:rsidRDefault="00000000" w:rsidRPr="00000000" w14:paraId="00000031">
      <w:pPr>
        <w:spacing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12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En el apartado sobre la nutrición en la fase terminal, destaca:</w:t>
      </w:r>
    </w:p>
    <w:p w:rsidR="00000000" w:rsidDel="00000000" w:rsidP="00000000" w:rsidRDefault="00000000" w:rsidRPr="00000000" w14:paraId="00000032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 En esta fase, el soporte nutricional solo hace referencia al suministro de nutrientes.</w:t>
      </w:r>
    </w:p>
    <w:p w:rsidR="00000000" w:rsidDel="00000000" w:rsidP="00000000" w:rsidRDefault="00000000" w:rsidRPr="00000000" w14:paraId="00000033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En esta fase, todos los pacientes son candidatos al soporte nutricional.</w:t>
      </w:r>
    </w:p>
    <w:p w:rsidR="00000000" w:rsidDel="00000000" w:rsidP="00000000" w:rsidRDefault="00000000" w:rsidRPr="00000000" w14:paraId="00000034">
      <w:pPr>
        <w:spacing w:after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La alimentación en esta fase ha de tener como objetivo principal el principio de confort del paciente, buscando el bienestar físico y moral.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360" w:line="360" w:lineRule="auto"/>
        <w:ind w:left="0" w:right="0" w:firstLine="0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Fonts w:ascii="Book Antiqua" w:cs="Book Antiqua" w:eastAsia="Book Antiqua" w:hAnsi="Book Antiqua"/>
          <w:b w:val="1"/>
          <w:color w:val="ff0000"/>
          <w:rtl w:val="0"/>
        </w:rPr>
        <w:t xml:space="preserve">13</w:t>
      </w:r>
      <w:r w:rsidDel="00000000" w:rsidR="00000000" w:rsidRPr="00000000">
        <w:rPr>
          <w:rFonts w:ascii="Book Antiqua" w:cs="Book Antiqua" w:eastAsia="Book Antiqua" w:hAnsi="Book Antiqua"/>
          <w:b w:val="1"/>
          <w:rtl w:val="0"/>
        </w:rPr>
        <w:t xml:space="preserve">. Añade:</w:t>
      </w:r>
    </w:p>
    <w:p w:rsidR="00000000" w:rsidDel="00000000" w:rsidP="00000000" w:rsidRDefault="00000000" w:rsidRPr="00000000" w14:paraId="00000036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a)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El soporte nutricional podrá ser por vía oral, enteral o parenteral, según la situación clínica del paciente, siendo la primera elección la alimentación oral, cuyas recomendaciones dietéticas irán siempre dirigidas a mejorar la presentación de los alimentos, a facilitar su digestión y absorción y a favorecer el confort, adecuando la alimentación a los síntomas. </w:t>
      </w:r>
      <w:r w:rsidDel="00000000" w:rsidR="00000000" w:rsidRPr="00000000">
        <w:rPr>
          <w:rFonts w:ascii="Book Antiqua" w:cs="Book Antiqua" w:eastAsia="Book Antiqua" w:hAnsi="Book Antiqua"/>
          <w:color w:val="ff0000"/>
          <w:rtl w:val="0"/>
        </w:rPr>
        <w:t xml:space="preserve">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b) La alimentación e hidratación en el enfermo terminal son tratamientos médicos y, como tales, no pueden ser rechazados por el paciente.</w:t>
      </w:r>
    </w:p>
    <w:p w:rsidR="00000000" w:rsidDel="00000000" w:rsidP="00000000" w:rsidRDefault="00000000" w:rsidRPr="00000000" w14:paraId="00000038">
      <w:pPr>
        <w:spacing w:after="240" w:line="360" w:lineRule="auto"/>
        <w:ind w:left="0" w:right="0" w:firstLine="0"/>
        <w:rPr>
          <w:rFonts w:ascii="Book Antiqua" w:cs="Book Antiqua" w:eastAsia="Book Antiqua" w:hAnsi="Book Antiqua"/>
        </w:rPr>
      </w:pPr>
      <w:r w:rsidDel="00000000" w:rsidR="00000000" w:rsidRPr="00000000">
        <w:rPr>
          <w:rFonts w:ascii="Book Antiqua" w:cs="Book Antiqua" w:eastAsia="Book Antiqua" w:hAnsi="Book Antiqua"/>
          <w:rtl w:val="0"/>
        </w:rPr>
        <w:t xml:space="preserve">c) La European Association for Palliative Care (AEPC) (Amadori D, 1996), desarrolló unas guías para ayudar a los clínicos a tomar decisiones razonables sobre el apoyo nutricional a pacientes terminales, constituida por dos fases, una de las cuales, la segunda, expresa: en esta fase no es necesaria la reevaluación periódica del tratamiento convenido.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1130300</wp:posOffset>
                </wp:positionV>
                <wp:extent cx="6353175" cy="2921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75763" y="3771745"/>
                          <a:ext cx="6340475" cy="1651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1130300</wp:posOffset>
                </wp:positionV>
                <wp:extent cx="6353175" cy="29210"/>
                <wp:effectExtent b="0" l="0" r="0" t="0"/>
                <wp:wrapNone/>
                <wp:docPr id="1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3175" cy="292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9">
      <w:pPr>
        <w:spacing w:after="0" w:line="360" w:lineRule="auto"/>
        <w:ind w:left="0" w:right="0" w:firstLine="0"/>
        <w:jc w:val="left"/>
        <w:rPr>
          <w:rFonts w:ascii="Book Antiqua" w:cs="Book Antiqua" w:eastAsia="Book Antiqua" w:hAnsi="Book Antiqua"/>
          <w:b w:val="1"/>
        </w:rPr>
      </w:pPr>
      <w:r w:rsidDel="00000000" w:rsidR="00000000" w:rsidRPr="00000000">
        <w:rPr>
          <w:rtl w:val="0"/>
        </w:rPr>
      </w:r>
    </w:p>
    <w:sectPr>
      <w:footerReference r:id="rId8" w:type="default"/>
      <w:footerReference r:id="rId9" w:type="even"/>
      <w:pgSz w:h="16840" w:w="11900" w:orient="portrait"/>
      <w:pgMar w:bottom="1417" w:top="1417" w:left="1134" w:right="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Book Antiqu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alatino">
    <w:altName w:val="Book Antiqua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1134" w:right="851" w:firstLine="567.0000000000002"/>
      <w:jc w:val="right"/>
      <w:rPr>
        <w:rFonts w:ascii="Palatino" w:cs="Palatino" w:eastAsia="Palatino" w:hAnsi="Palatin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alatino" w:cs="Palatino" w:eastAsia="Palatino" w:hAnsi="Palatin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1134" w:right="851" w:firstLine="567.0000000000002"/>
      <w:jc w:val="both"/>
      <w:rPr>
        <w:rFonts w:ascii="Palatino" w:cs="Palatino" w:eastAsia="Palatino" w:hAnsi="Palatin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1134" w:right="851" w:firstLine="567.0000000000002"/>
      <w:jc w:val="right"/>
      <w:rPr>
        <w:rFonts w:ascii="Palatino" w:cs="Palatino" w:eastAsia="Palatino" w:hAnsi="Palatin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Palatino" w:cs="Palatino" w:eastAsia="Palatino" w:hAnsi="Palatin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1134" w:right="851" w:firstLine="567.0000000000002"/>
      <w:jc w:val="both"/>
      <w:rPr>
        <w:rFonts w:ascii="Palatino" w:cs="Palatino" w:eastAsia="Palatino" w:hAnsi="Palatino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alatino" w:cs="Palatino" w:eastAsia="Palatino" w:hAnsi="Palatino"/>
        <w:sz w:val="24"/>
        <w:szCs w:val="24"/>
        <w:lang w:val="es-ES_tradnl"/>
      </w:rPr>
    </w:rPrDefault>
    <w:pPrDefault>
      <w:pPr>
        <w:spacing w:after="120" w:before="120" w:line="264" w:lineRule="auto"/>
        <w:ind w:left="1134" w:right="851" w:firstLine="567.0000000000002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0B4468"/>
    <w:pPr>
      <w:tabs>
        <w:tab w:val="center" w:pos="4252"/>
        <w:tab w:val="right" w:pos="8504"/>
      </w:tabs>
      <w:spacing w:after="0" w:before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B4468"/>
    <w:rPr>
      <w:rFonts w:ascii="Palatino" w:cs="Times New Roman" w:eastAsia="Cambria" w:hAnsi="Palatino"/>
      <w:lang w:eastAsia="ja-JP"/>
    </w:rPr>
  </w:style>
  <w:style w:type="paragraph" w:styleId="Piedepgina">
    <w:name w:val="footer"/>
    <w:basedOn w:val="Normal"/>
    <w:link w:val="PiedepginaCar"/>
    <w:uiPriority w:val="99"/>
    <w:unhideWhenUsed w:val="1"/>
    <w:rsid w:val="000B4468"/>
    <w:pPr>
      <w:tabs>
        <w:tab w:val="center" w:pos="4252"/>
        <w:tab w:val="right" w:pos="8504"/>
      </w:tabs>
      <w:spacing w:after="0" w:before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0B4468"/>
    <w:rPr>
      <w:rFonts w:ascii="Palatino" w:cs="Times New Roman" w:eastAsia="Cambria" w:hAnsi="Palatino"/>
      <w:lang w:eastAsia="ja-JP"/>
    </w:rPr>
  </w:style>
  <w:style w:type="character" w:styleId="Nmerodepgina">
    <w:name w:val="page number"/>
    <w:basedOn w:val="Fuentedeprrafopredeter"/>
    <w:uiPriority w:val="99"/>
    <w:semiHidden w:val="1"/>
    <w:unhideWhenUsed w:val="1"/>
    <w:rsid w:val="00D7058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footer" Target="foot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okAntiqua-regular.ttf"/><Relationship Id="rId2" Type="http://schemas.openxmlformats.org/officeDocument/2006/relationships/font" Target="fonts/BookAntiqua-bold.ttf"/><Relationship Id="rId3" Type="http://schemas.openxmlformats.org/officeDocument/2006/relationships/font" Target="fonts/BookAntiqua-italic.ttf"/><Relationship Id="rId4" Type="http://schemas.openxmlformats.org/officeDocument/2006/relationships/font" Target="fonts/BookAntiqua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bAvW1cGM1aHIUoKNKV7Goh7jQw==">CgMxLjA4AHIhMWtjSmhxdjk4SGNMZ1RzVDh0YXRhMDJvX0FKZ2RIRngz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2021-02-14T14:28:00Z</dcterms:created>
  <dc:creator>Leonardo Ruiz Pérez</dc:creator>
</cp:coreProperties>
</file>