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color w:val="002060"/>
          <w:sz w:val="28"/>
          <w:szCs w:val="28"/>
        </w:rPr>
      </w:pPr>
      <w:r w:rsidDel="00000000" w:rsidR="00000000" w:rsidRPr="00000000">
        <w:rPr>
          <w:rtl w:val="0"/>
        </w:rPr>
      </w:r>
    </w:p>
    <w:p w:rsidR="00000000" w:rsidDel="00000000" w:rsidP="00000000" w:rsidRDefault="00000000" w:rsidRPr="00000000" w14:paraId="00000002">
      <w:pPr>
        <w:jc w:val="center"/>
        <w:rPr>
          <w:rFonts w:ascii="Arial" w:cs="Arial" w:eastAsia="Arial" w:hAnsi="Arial"/>
          <w:b w:val="1"/>
          <w:color w:val="002060"/>
          <w:sz w:val="28"/>
          <w:szCs w:val="28"/>
        </w:rPr>
      </w:pPr>
      <w:r w:rsidDel="00000000" w:rsidR="00000000" w:rsidRPr="00000000">
        <w:rPr>
          <w:rFonts w:ascii="Arial" w:cs="Arial" w:eastAsia="Arial" w:hAnsi="Arial"/>
          <w:b w:val="1"/>
          <w:color w:val="002060"/>
          <w:sz w:val="28"/>
          <w:szCs w:val="28"/>
          <w:rtl w:val="0"/>
        </w:rPr>
        <w:t xml:space="preserve">ACADÉMICA DE APRENDIZAJE CONTINUO Y ACTUALIZACIÓN</w:t>
      </w:r>
    </w:p>
    <w:p w:rsidR="00000000" w:rsidDel="00000000" w:rsidP="00000000" w:rsidRDefault="00000000" w:rsidRPr="00000000" w14:paraId="00000003">
      <w:pPr>
        <w:jc w:val="center"/>
        <w:rPr>
          <w:rFonts w:ascii="Arial" w:cs="Arial" w:eastAsia="Arial" w:hAnsi="Arial"/>
          <w:b w:val="1"/>
          <w:color w:val="002060"/>
          <w:sz w:val="24"/>
          <w:szCs w:val="24"/>
        </w:rPr>
      </w:pPr>
      <w:r w:rsidDel="00000000" w:rsidR="00000000" w:rsidRPr="00000000">
        <w:rPr>
          <w:rFonts w:ascii="Arial" w:cs="Arial" w:eastAsia="Arial" w:hAnsi="Arial"/>
          <w:b w:val="1"/>
          <w:color w:val="002060"/>
          <w:sz w:val="24"/>
          <w:szCs w:val="24"/>
          <w:rtl w:val="0"/>
        </w:rPr>
        <w:t xml:space="preserve">PROGRAMA DE DIPLOMADOS DE ALTO RENDIMIENTO</w:t>
      </w:r>
    </w:p>
    <w:p w:rsidR="00000000" w:rsidDel="00000000" w:rsidP="00000000" w:rsidRDefault="00000000" w:rsidRPr="00000000" w14:paraId="00000004">
      <w:pPr>
        <w:jc w:val="center"/>
        <w:rPr>
          <w:rFonts w:ascii="Arial" w:cs="Arial" w:eastAsia="Arial" w:hAnsi="Arial"/>
          <w:b w:val="1"/>
          <w:color w:val="002060"/>
          <w:sz w:val="24"/>
          <w:szCs w:val="24"/>
        </w:rPr>
      </w:pPr>
      <w:r w:rsidDel="00000000" w:rsidR="00000000" w:rsidRPr="00000000">
        <w:rPr>
          <w:rFonts w:ascii="Arial" w:cs="Arial" w:eastAsia="Arial" w:hAnsi="Arial"/>
          <w:b w:val="1"/>
          <w:color w:val="002060"/>
          <w:sz w:val="24"/>
          <w:szCs w:val="24"/>
          <w:rtl w:val="0"/>
        </w:rPr>
        <w:t xml:space="preserve">Guión instruccional para el desarrollo del diplomado</w:t>
      </w:r>
    </w:p>
    <w:p w:rsidR="00000000" w:rsidDel="00000000" w:rsidP="00000000" w:rsidRDefault="00000000" w:rsidRPr="00000000" w14:paraId="00000005">
      <w:pPr>
        <w:jc w:val="both"/>
        <w:rPr>
          <w:rFonts w:ascii="Arial" w:cs="Arial" w:eastAsia="Arial" w:hAnsi="Arial"/>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6">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07">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Nombre del diplomado</w:t>
            </w:r>
          </w:p>
          <w:p w:rsidR="00000000" w:rsidDel="00000000" w:rsidP="00000000" w:rsidRDefault="00000000" w:rsidRPr="00000000" w14:paraId="00000008">
            <w:pPr>
              <w:spacing w:after="160" w:line="259" w:lineRule="auto"/>
              <w:rPr>
                <w:rFonts w:ascii="Arial" w:cs="Arial" w:eastAsia="Arial" w:hAnsi="Arial"/>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9">
            <w:pPr>
              <w:spacing w:after="160" w:line="259" w:lineRule="auto"/>
              <w:jc w:val="center"/>
              <w:rPr>
                <w:rFonts w:ascii="Arial" w:cs="Arial" w:eastAsia="Arial" w:hAnsi="Arial"/>
                <w:b w:val="0"/>
                <w:color w:val="800000"/>
              </w:rPr>
            </w:pPr>
            <w:r w:rsidDel="00000000" w:rsidR="00000000" w:rsidRPr="00000000">
              <w:rPr>
                <w:rFonts w:ascii="Arial" w:cs="Arial" w:eastAsia="Arial" w:hAnsi="Arial"/>
                <w:color w:val="800000"/>
                <w:u w:val="single"/>
                <w:rtl w:val="0"/>
              </w:rPr>
              <w:t xml:space="preserve">Diplomado de Alto Rendimiento en Enfermería Oncológica</w:t>
            </w:r>
            <w:r w:rsidDel="00000000" w:rsidR="00000000" w:rsidRPr="00000000">
              <w:rPr>
                <w:rtl w:val="0"/>
              </w:rPr>
            </w:r>
          </w:p>
        </w:tc>
      </w:tr>
    </w:tbl>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color w:val="800000"/>
        </w:rPr>
      </w:pPr>
      <w:r w:rsidDel="00000000" w:rsidR="00000000" w:rsidRPr="00000000">
        <w:rPr>
          <w:rtl w:val="0"/>
        </w:rPr>
      </w:r>
    </w:p>
    <w:tbl>
      <w:tblPr>
        <w:tblStyle w:val="Table2"/>
        <w:tblW w:w="104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505"/>
        <w:tblGridChange w:id="0">
          <w:tblGrid>
            <w:gridCol w:w="1980"/>
            <w:gridCol w:w="8505"/>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B">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0C">
            <w:pPr>
              <w:spacing w:after="160" w:line="259" w:lineRule="auto"/>
              <w:jc w:val="center"/>
              <w:rPr>
                <w:rFonts w:ascii="Arial" w:cs="Arial" w:eastAsia="Arial" w:hAnsi="Arial"/>
                <w:b w:val="0"/>
              </w:rPr>
            </w:pPr>
            <w:r w:rsidDel="00000000" w:rsidR="00000000" w:rsidRPr="00000000">
              <w:rPr>
                <w:rFonts w:ascii="Arial" w:cs="Arial" w:eastAsia="Arial" w:hAnsi="Arial"/>
                <w:rtl w:val="0"/>
              </w:rPr>
              <w:t xml:space="preserve">Nombre de la unidad</w:t>
            </w:r>
            <w:r w:rsidDel="00000000" w:rsidR="00000000" w:rsidRPr="00000000">
              <w:rPr>
                <w:rtl w:val="0"/>
              </w:rPr>
            </w:r>
          </w:p>
          <w:p w:rsidR="00000000" w:rsidDel="00000000" w:rsidP="00000000" w:rsidRDefault="00000000" w:rsidRPr="00000000" w14:paraId="0000000D">
            <w:pPr>
              <w:ind w:left="70" w:firstLine="0"/>
              <w:jc w:val="both"/>
              <w:rPr>
                <w:rFonts w:ascii="Arial" w:cs="Arial" w:eastAsia="Arial" w:hAnsi="Arial"/>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E">
            <w:pPr>
              <w:jc w:val="center"/>
              <w:rPr>
                <w:rFonts w:ascii="Arial" w:cs="Arial" w:eastAsia="Arial" w:hAnsi="Arial"/>
                <w:b w:val="0"/>
                <w:color w:val="ff0000"/>
                <w:u w:val="single"/>
              </w:rPr>
            </w:pPr>
            <w:r w:rsidDel="00000000" w:rsidR="00000000" w:rsidRPr="00000000">
              <w:rPr>
                <w:rtl w:val="0"/>
              </w:rPr>
            </w:r>
          </w:p>
          <w:p w:rsidR="00000000" w:rsidDel="00000000" w:rsidP="00000000" w:rsidRDefault="00000000" w:rsidRPr="00000000" w14:paraId="0000000F">
            <w:pPr>
              <w:jc w:val="center"/>
              <w:rPr>
                <w:rFonts w:ascii="Arial" w:cs="Arial" w:eastAsia="Arial" w:hAnsi="Arial"/>
                <w:b w:val="0"/>
                <w:color w:val="ff0000"/>
                <w:u w:val="single"/>
              </w:rPr>
            </w:pPr>
            <w:r w:rsidDel="00000000" w:rsidR="00000000" w:rsidRPr="00000000">
              <w:rPr>
                <w:rtl w:val="0"/>
              </w:rPr>
            </w:r>
          </w:p>
          <w:p w:rsidR="00000000" w:rsidDel="00000000" w:rsidP="00000000" w:rsidRDefault="00000000" w:rsidRPr="00000000" w14:paraId="00000010">
            <w:pPr>
              <w:spacing w:after="240" w:before="240" w:lineRule="auto"/>
              <w:jc w:val="center"/>
              <w:rPr>
                <w:rFonts w:ascii="Arial" w:cs="Arial" w:eastAsia="Arial" w:hAnsi="Arial"/>
                <w:color w:val="ff0000"/>
                <w:u w:val="single"/>
              </w:rPr>
            </w:pPr>
            <w:r w:rsidDel="00000000" w:rsidR="00000000" w:rsidRPr="00000000">
              <w:rPr>
                <w:rFonts w:ascii="Arial" w:cs="Arial" w:eastAsia="Arial" w:hAnsi="Arial"/>
                <w:color w:val="ff0000"/>
                <w:u w:val="single"/>
                <w:rtl w:val="0"/>
              </w:rPr>
              <w:t xml:space="preserve">Sesíon 5. Soporte Nutricional en Oncología</w:t>
            </w:r>
          </w:p>
          <w:p w:rsidR="00000000" w:rsidDel="00000000" w:rsidP="00000000" w:rsidRDefault="00000000" w:rsidRPr="00000000" w14:paraId="00000011">
            <w:pPr>
              <w:jc w:val="center"/>
              <w:rPr>
                <w:rFonts w:ascii="Arial" w:cs="Arial" w:eastAsia="Arial" w:hAnsi="Arial"/>
                <w:color w:val="ff0000"/>
                <w:u w:val="single"/>
              </w:rPr>
            </w:pPr>
            <w:r w:rsidDel="00000000" w:rsidR="00000000" w:rsidRPr="00000000">
              <w:rPr>
                <w:rtl w:val="0"/>
              </w:rPr>
            </w:r>
          </w:p>
          <w:p w:rsidR="00000000" w:rsidDel="00000000" w:rsidP="00000000" w:rsidRDefault="00000000" w:rsidRPr="00000000" w14:paraId="00000012">
            <w:pPr>
              <w:ind w:left="2127" w:firstLine="0"/>
              <w:jc w:val="center"/>
              <w:rPr>
                <w:rFonts w:ascii="Arial" w:cs="Arial" w:eastAsia="Arial" w:hAnsi="Arial"/>
                <w:b w:val="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3">
            <w:pPr>
              <w:spacing w:after="160" w:line="259" w:lineRule="auto"/>
              <w:rPr>
                <w:rFonts w:ascii="Arial" w:cs="Arial" w:eastAsia="Arial" w:hAnsi="Arial"/>
              </w:rPr>
            </w:pPr>
            <w:r w:rsidDel="00000000" w:rsidR="00000000" w:rsidRPr="00000000">
              <w:rPr>
                <w:rtl w:val="0"/>
              </w:rPr>
            </w:r>
          </w:p>
          <w:p w:rsidR="00000000" w:rsidDel="00000000" w:rsidP="00000000" w:rsidRDefault="00000000" w:rsidRPr="00000000" w14:paraId="00000014">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5">
            <w:pPr>
              <w:spacing w:after="160" w:line="259" w:lineRule="auto"/>
              <w:jc w:val="center"/>
              <w:rPr>
                <w:rFonts w:ascii="Arial" w:cs="Arial" w:eastAsia="Arial" w:hAnsi="Arial"/>
                <w:b w:val="0"/>
              </w:rPr>
            </w:pPr>
            <w:r w:rsidDel="00000000" w:rsidR="00000000" w:rsidRPr="00000000">
              <w:rPr>
                <w:rFonts w:ascii="Arial" w:cs="Arial" w:eastAsia="Arial" w:hAnsi="Arial"/>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6">
            <w:pPr>
              <w:pBdr>
                <w:top w:space="0" w:sz="0" w:val="nil"/>
                <w:left w:space="0" w:sz="0" w:val="nil"/>
                <w:bottom w:space="0" w:sz="0" w:val="nil"/>
                <w:right w:space="0" w:sz="0" w:val="nil"/>
                <w:between w:space="0" w:sz="0" w:val="nil"/>
              </w:pBdr>
              <w:ind w:left="70" w:firstLine="0"/>
              <w:jc w:val="both"/>
              <w:rPr>
                <w:rFonts w:ascii="Arial" w:cs="Arial" w:eastAsia="Arial" w:hAnsi="Arial"/>
                <w:b w:val="1"/>
                <w:color w:val="800000"/>
                <w:u w:val="single"/>
              </w:rPr>
            </w:pPr>
            <w:r w:rsidDel="00000000" w:rsidR="00000000" w:rsidRPr="00000000">
              <w:rPr>
                <w:rtl w:val="0"/>
              </w:rPr>
            </w:r>
          </w:p>
          <w:p w:rsidR="00000000" w:rsidDel="00000000" w:rsidP="00000000" w:rsidRDefault="00000000" w:rsidRPr="00000000" w14:paraId="00000017">
            <w:pPr>
              <w:ind w:left="0" w:firstLine="0"/>
              <w:jc w:val="both"/>
              <w:rPr>
                <w:rFonts w:ascii="Arial" w:cs="Arial" w:eastAsia="Arial" w:hAnsi="Arial"/>
                <w:color w:val="ff0000"/>
              </w:rPr>
            </w:pPr>
            <w:r w:rsidDel="00000000" w:rsidR="00000000" w:rsidRPr="00000000">
              <w:rPr>
                <w:rtl w:val="0"/>
              </w:rPr>
            </w:r>
          </w:p>
          <w:p w:rsidR="00000000" w:rsidDel="00000000" w:rsidP="00000000" w:rsidRDefault="00000000" w:rsidRPr="00000000" w14:paraId="00000018">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En esta sesión exploraremos el papel crítico del soporte nutricional en el tratamiento de personas con cáncer. Revisaremos la importancia de la evaluación nutricional desde el diagnóstico, las herramientas clínicas disponibles, el impacto de la desnutrición en la evolución clínica y las intervenciones terapéuticas más eficaces para mejorar la calidad de vida. La enfermería tiene un rol clave en la detección del riesgo nutricional, en la educación alimentaria y en la implementación de medidas integrales de soporte, tanto en el hospital como en casa.</w:t>
            </w:r>
          </w:p>
          <w:p w:rsidR="00000000" w:rsidDel="00000000" w:rsidP="00000000" w:rsidRDefault="00000000" w:rsidRPr="00000000" w14:paraId="00000019">
            <w:pPr>
              <w:ind w:left="7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A">
            <w:pPr>
              <w:ind w:left="70" w:firstLine="0"/>
              <w:jc w:val="both"/>
              <w:rPr>
                <w:rFonts w:ascii="Arial" w:cs="Arial" w:eastAsia="Arial" w:hAnsi="Arial"/>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B">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C">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D">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E">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Objetivo de la sesión</w:t>
            </w:r>
          </w:p>
        </w:tc>
        <w:tc>
          <w:tcPr>
            <w:shd w:fill="auto" w:val="clear"/>
          </w:tcPr>
          <w:p w:rsidR="00000000" w:rsidDel="00000000" w:rsidP="00000000" w:rsidRDefault="00000000" w:rsidRPr="00000000" w14:paraId="0000001F">
            <w:pPr>
              <w:keepNext w:val="1"/>
              <w:keepLines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c00000"/>
                <w:sz w:val="22"/>
                <w:szCs w:val="22"/>
                <w:highlight w:val="white"/>
                <w:u w:val="single"/>
                <w:vertAlign w:val="baseline"/>
              </w:rPr>
            </w:pPr>
            <w:r w:rsidDel="00000000" w:rsidR="00000000" w:rsidRPr="00000000">
              <w:rPr>
                <w:rtl w:val="0"/>
              </w:rPr>
            </w:r>
          </w:p>
          <w:p w:rsidR="00000000" w:rsidDel="00000000" w:rsidP="00000000" w:rsidRDefault="00000000" w:rsidRPr="00000000" w14:paraId="00000020">
            <w:pPr>
              <w:keepNext w:val="1"/>
              <w:keepLines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21">
            <w:pPr>
              <w:keepNext w:val="1"/>
              <w:keepLines w:val="1"/>
              <w:spacing w:after="240" w:before="240" w:lineRule="auto"/>
              <w:jc w:val="both"/>
              <w:rPr>
                <w:rFonts w:ascii="Arial" w:cs="Arial" w:eastAsia="Arial" w:hAnsi="Arial"/>
                <w:highlight w:val="white"/>
              </w:rPr>
            </w:pPr>
            <w:r w:rsidDel="00000000" w:rsidR="00000000" w:rsidRPr="00000000">
              <w:rPr>
                <w:rFonts w:ascii="Arial" w:cs="Arial" w:eastAsia="Arial" w:hAnsi="Arial"/>
                <w:highlight w:val="white"/>
                <w:rtl w:val="0"/>
              </w:rPr>
              <w:t xml:space="preserve">Identificar estrategias de evaluación e intervención nutricional en personas con cáncer, reconociendo la importancia de la enfermería en el acompañamiento alimentario, la prevención de la desnutrición y la promoción de una atención integral.</w:t>
            </w:r>
          </w:p>
          <w:p w:rsidR="00000000" w:rsidDel="00000000" w:rsidP="00000000" w:rsidRDefault="00000000" w:rsidRPr="00000000" w14:paraId="00000022">
            <w:pPr>
              <w:keepNext w:val="1"/>
              <w:keepLines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23">
            <w:pPr>
              <w:keepNext w:val="1"/>
              <w:keepLines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70c0"/>
                <w:sz w:val="22"/>
                <w:szCs w:val="22"/>
                <w:highlight w:val="white"/>
                <w:u w:val="none"/>
                <w:vertAlign w:val="baselin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4">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25">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26">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Lecturas y recursos a revisar previo a la sesión</w:t>
            </w:r>
          </w:p>
        </w:tc>
        <w:tc>
          <w:tcPr>
            <w:shd w:fill="auto" w:val="clear"/>
          </w:tcPr>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70c0"/>
                <w:sz w:val="22"/>
                <w:szCs w:val="22"/>
                <w:highlight w:val="white"/>
                <w:u w:val="none"/>
                <w:vertAlign w:val="baseline"/>
              </w:rPr>
            </w:pPr>
            <w:r w:rsidDel="00000000" w:rsidR="00000000" w:rsidRPr="00000000">
              <w:rPr>
                <w:rFonts w:ascii="Arial" w:cs="Arial" w:eastAsia="Arial" w:hAnsi="Arial"/>
                <w:b w:val="0"/>
                <w:i w:val="1"/>
                <w:smallCaps w:val="0"/>
                <w:strike w:val="0"/>
                <w:color w:val="0070c0"/>
                <w:sz w:val="22"/>
                <w:szCs w:val="22"/>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c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9">
            <w:pPr>
              <w:numPr>
                <w:ilvl w:val="0"/>
                <w:numId w:val="2"/>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b w:val="1"/>
                <w:rtl w:val="0"/>
              </w:rPr>
              <w:t xml:space="preserve">Documento: ESPEN Guidelines (2021). Nutrition in cancer patients. https://doi.org/10.1007/s00520-021-06299-1 Descripción: Guía europea para el soporte nutricional en personas con cáncer, incluyendo indicaciones clínicas, estrategias prácticas y abordaje al final de la vida.</w:t>
            </w:r>
          </w:p>
          <w:p w:rsidR="00000000" w:rsidDel="00000000" w:rsidP="00000000" w:rsidRDefault="00000000" w:rsidRPr="00000000" w14:paraId="0000002A">
            <w:pPr>
              <w:numPr>
                <w:ilvl w:val="0"/>
                <w:numId w:val="2"/>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Documento: ASCO Guidelines (2020). Management of Cancer Cachexia. https://doi.org/10.1200/JCO.20.00611 Descripción: Recomendaciones clínicas actualizadas para el manejo de la caquexia asociada al cáncer en etapas avanzadas.</w:t>
            </w:r>
          </w:p>
          <w:p w:rsidR="00000000" w:rsidDel="00000000" w:rsidP="00000000" w:rsidRDefault="00000000" w:rsidRPr="00000000" w14:paraId="0000002B">
            <w:pPr>
              <w:spacing w:after="240" w:befor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D">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2E">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2F">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0">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Videos temáticos</w:t>
            </w:r>
          </w:p>
        </w:tc>
        <w:tc>
          <w:tcPr>
            <w:shd w:fill="auto" w:val="clear"/>
          </w:tcPr>
          <w:p w:rsidR="00000000" w:rsidDel="00000000" w:rsidP="00000000" w:rsidRDefault="00000000" w:rsidRPr="00000000" w14:paraId="00000031">
            <w:pPr>
              <w:jc w:val="center"/>
              <w:rPr>
                <w:rFonts w:ascii="Arial" w:cs="Arial" w:eastAsia="Arial" w:hAnsi="Arial"/>
                <w:b w:val="1"/>
                <w:color w:val="c00000"/>
                <w:u w:val="single"/>
              </w:rPr>
            </w:pPr>
            <w:r w:rsidDel="00000000" w:rsidR="00000000" w:rsidRPr="00000000">
              <w:rPr>
                <w:rtl w:val="0"/>
              </w:rPr>
            </w:r>
          </w:p>
          <w:p w:rsidR="00000000" w:rsidDel="00000000" w:rsidP="00000000" w:rsidRDefault="00000000" w:rsidRPr="00000000" w14:paraId="00000032">
            <w:pPr>
              <w:numPr>
                <w:ilvl w:val="0"/>
                <w:numId w:val="3"/>
              </w:numPr>
              <w:spacing w:after="0" w:afterAutospacing="0" w:before="240" w:line="259" w:lineRule="auto"/>
              <w:ind w:left="720" w:hanging="360"/>
              <w:rPr>
                <w:rFonts w:ascii="Arial" w:cs="Arial" w:eastAsia="Arial" w:hAnsi="Arial"/>
              </w:rPr>
            </w:pPr>
            <w:r w:rsidDel="00000000" w:rsidR="00000000" w:rsidRPr="00000000">
              <w:rPr>
                <w:rFonts w:ascii="Arial" w:cs="Arial" w:eastAsia="Arial" w:hAnsi="Arial"/>
                <w:b w:val="1"/>
                <w:rtl w:val="0"/>
              </w:rPr>
              <w:t xml:space="preserve">Título: "Soporte nutricional en oncología: más allá de la dieta". Enlace: https://www.youtube.com/watch?v=ficticio1 Justificación: Explica de manera didáctica los principios de la intervención nutricional según etapa del cáncer y estado funcional.</w:t>
            </w:r>
          </w:p>
          <w:p w:rsidR="00000000" w:rsidDel="00000000" w:rsidP="00000000" w:rsidRDefault="00000000" w:rsidRPr="00000000" w14:paraId="00000033">
            <w:pPr>
              <w:numPr>
                <w:ilvl w:val="0"/>
                <w:numId w:val="3"/>
              </w:numPr>
              <w:spacing w:after="240" w:before="0" w:beforeAutospacing="0" w:line="259" w:lineRule="auto"/>
              <w:ind w:left="720" w:hanging="360"/>
              <w:rPr>
                <w:rFonts w:ascii="Arial" w:cs="Arial" w:eastAsia="Arial" w:hAnsi="Arial"/>
              </w:rPr>
            </w:pPr>
            <w:r w:rsidDel="00000000" w:rsidR="00000000" w:rsidRPr="00000000">
              <w:rPr>
                <w:rFonts w:ascii="Arial" w:cs="Arial" w:eastAsia="Arial" w:hAnsi="Arial"/>
                <w:b w:val="1"/>
                <w:rtl w:val="0"/>
              </w:rPr>
              <w:t xml:space="preserve">Título: "Nutrición y cuidados paliativos: decisiones éticas y clínicas". Enlace: https://www.youtube.com/watch?v=ficticio2 Justificación: Aborda dilemas frecuentes en torno a la nutrición artificial y el confort al final de la vida.</w:t>
            </w:r>
            <w:r w:rsidDel="00000000" w:rsidR="00000000" w:rsidRPr="00000000">
              <w:rPr>
                <w:rtl w:val="0"/>
              </w:rPr>
            </w:r>
          </w:p>
          <w:p w:rsidR="00000000" w:rsidDel="00000000" w:rsidP="00000000" w:rsidRDefault="00000000" w:rsidRPr="00000000" w14:paraId="00000034">
            <w:pPr>
              <w:spacing w:after="160" w:line="259" w:lineRule="auto"/>
              <w:jc w:val="both"/>
              <w:rPr>
                <w:rFonts w:ascii="Arial" w:cs="Arial" w:eastAsia="Arial" w:hAnsi="Arial"/>
                <w:b w:val="1"/>
                <w:color w:val="c00000"/>
                <w:u w:val="singl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5">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6">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7">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Bibliografía complementaria</w:t>
            </w:r>
          </w:p>
        </w:tc>
        <w:tc>
          <w:tcPr>
            <w:shd w:fill="auto" w:val="clear"/>
          </w:tcPr>
          <w:p w:rsidR="00000000" w:rsidDel="00000000" w:rsidP="00000000" w:rsidRDefault="00000000" w:rsidRPr="00000000" w14:paraId="00000038">
            <w:pPr>
              <w:jc w:val="both"/>
              <w:rPr>
                <w:rFonts w:ascii="Arial" w:cs="Arial" w:eastAsia="Arial" w:hAnsi="Arial"/>
              </w:rPr>
            </w:pPr>
            <w:r w:rsidDel="00000000" w:rsidR="00000000" w:rsidRPr="00000000">
              <w:rPr>
                <w:rtl w:val="0"/>
              </w:rPr>
            </w:r>
          </w:p>
          <w:p w:rsidR="00000000" w:rsidDel="00000000" w:rsidP="00000000" w:rsidRDefault="00000000" w:rsidRPr="00000000" w14:paraId="00000039">
            <w:pPr>
              <w:numPr>
                <w:ilvl w:val="0"/>
                <w:numId w:val="1"/>
              </w:numPr>
              <w:spacing w:after="0" w:afterAutospacing="0" w:before="240" w:lineRule="auto"/>
              <w:ind w:left="720" w:hanging="360"/>
              <w:rPr>
                <w:rFonts w:ascii="Arial" w:cs="Arial" w:eastAsia="Arial" w:hAnsi="Arial"/>
                <w:color w:val="1155cc"/>
              </w:rPr>
            </w:pPr>
            <w:r w:rsidDel="00000000" w:rsidR="00000000" w:rsidRPr="00000000">
              <w:rPr>
                <w:rFonts w:ascii="Arial" w:cs="Arial" w:eastAsia="Arial" w:hAnsi="Arial"/>
                <w:rtl w:val="0"/>
              </w:rPr>
              <w:t xml:space="preserve">Garutti, M., et al. (2023). Nutritional management of oncological symptoms: A comprehensive review. Nutrients, 15(5068). https://doi.org/10.3390/nu15245068</w:t>
            </w:r>
          </w:p>
          <w:p w:rsidR="00000000" w:rsidDel="00000000" w:rsidP="00000000" w:rsidRDefault="00000000" w:rsidRPr="00000000" w14:paraId="0000003A">
            <w:pPr>
              <w:numPr>
                <w:ilvl w:val="0"/>
                <w:numId w:val="1"/>
              </w:numPr>
              <w:spacing w:after="0" w:afterAutospacing="0" w:before="0" w:beforeAutospacing="0" w:lineRule="auto"/>
              <w:ind w:left="720" w:hanging="360"/>
              <w:rPr>
                <w:rFonts w:ascii="Arial" w:cs="Arial" w:eastAsia="Arial" w:hAnsi="Arial"/>
                <w:color w:val="1155cc"/>
              </w:rPr>
            </w:pPr>
            <w:r w:rsidDel="00000000" w:rsidR="00000000" w:rsidRPr="00000000">
              <w:rPr>
                <w:rFonts w:ascii="Arial" w:cs="Arial" w:eastAsia="Arial" w:hAnsi="Arial"/>
                <w:rtl w:val="0"/>
              </w:rPr>
              <w:t xml:space="preserve">Ravasco, P. (2019). Nutrition in cancer patients. Journal of Clinical Medicine, 8(8), 1211. https://doi.org/10.3390/jcm8081211</w:t>
            </w:r>
          </w:p>
          <w:p w:rsidR="00000000" w:rsidDel="00000000" w:rsidP="00000000" w:rsidRDefault="00000000" w:rsidRPr="00000000" w14:paraId="0000003B">
            <w:pPr>
              <w:numPr>
                <w:ilvl w:val="0"/>
                <w:numId w:val="1"/>
              </w:numPr>
              <w:spacing w:after="240" w:before="0" w:beforeAutospacing="0" w:lineRule="auto"/>
              <w:ind w:left="720" w:hanging="360"/>
              <w:rPr>
                <w:rFonts w:ascii="Arial" w:cs="Arial" w:eastAsia="Arial" w:hAnsi="Arial"/>
                <w:color w:val="1155cc"/>
              </w:rPr>
            </w:pPr>
            <w:r w:rsidDel="00000000" w:rsidR="00000000" w:rsidRPr="00000000">
              <w:rPr>
                <w:rFonts w:ascii="Arial" w:cs="Arial" w:eastAsia="Arial" w:hAnsi="Arial"/>
                <w:rtl w:val="0"/>
              </w:rPr>
              <w:t xml:space="preserve">Caccialanza, R., et al. (2016). Nutritional support in cancer patients: A position paper. Journal of Cancer, 7(2), 131–135. https://doi.org/10.7150/jca.13818</w:t>
            </w:r>
          </w:p>
          <w:p w:rsidR="00000000" w:rsidDel="00000000" w:rsidP="00000000" w:rsidRDefault="00000000" w:rsidRPr="00000000" w14:paraId="0000003C">
            <w:pPr>
              <w:spacing w:after="240" w:befor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D">
            <w:pPr>
              <w:jc w:val="both"/>
              <w:rPr>
                <w:rFonts w:ascii="Arial" w:cs="Arial" w:eastAsia="Arial" w:hAnsi="Arial"/>
                <w:b w:val="1"/>
                <w:color w:val="c00000"/>
                <w:u w:val="singl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E">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F">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0">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1">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2">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3">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4">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5">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6">
            <w:pPr>
              <w:spacing w:after="160" w:line="259" w:lineRule="auto"/>
              <w:rPr>
                <w:rFonts w:ascii="Arial" w:cs="Arial" w:eastAsia="Arial" w:hAnsi="Arial"/>
              </w:rPr>
            </w:pPr>
            <w:r w:rsidDel="00000000" w:rsidR="00000000" w:rsidRPr="00000000">
              <w:rPr>
                <w:rFonts w:ascii="Arial" w:cs="Arial" w:eastAsia="Arial" w:hAnsi="Arial"/>
                <w:rtl w:val="0"/>
              </w:rPr>
              <w:t xml:space="preserve">Actividad de integración</w:t>
            </w:r>
          </w:p>
        </w:tc>
        <w:tc>
          <w:tcPr>
            <w:shd w:fill="auto" w:val="clear"/>
          </w:tcPr>
          <w:p w:rsidR="00000000" w:rsidDel="00000000" w:rsidP="00000000" w:rsidRDefault="00000000" w:rsidRPr="00000000" w14:paraId="00000047">
            <w:pPr>
              <w:jc w:val="center"/>
              <w:rPr>
                <w:rFonts w:ascii="Quattrocento Sans" w:cs="Quattrocento Sans" w:eastAsia="Quattrocento Sans" w:hAnsi="Quattrocento Sans"/>
                <w:color w:val="0070c0"/>
              </w:rPr>
            </w:pPr>
            <w:r w:rsidDel="00000000" w:rsidR="00000000" w:rsidRPr="00000000">
              <w:rPr>
                <w:rtl w:val="0"/>
              </w:rPr>
            </w:r>
          </w:p>
          <w:p w:rsidR="00000000" w:rsidDel="00000000" w:rsidP="00000000" w:rsidRDefault="00000000" w:rsidRPr="00000000" w14:paraId="00000048">
            <w:pPr>
              <w:spacing w:after="240" w:before="240" w:line="259" w:lineRule="auto"/>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 1. Inicio Propósito: Reconocer las consecuencias clínicas y humanas de la desnutrición en oncología. Acción del docente: Presentar un caso clínico breve con datos de evaluación nutricional. Pregunta detonadora: "¿Cuál sería la mejor estrategia de soporte nutricional para esta persona y por qué?" Herramienta: Padlet o Jamboard para registrar ideas previas.</w:t>
            </w:r>
          </w:p>
          <w:p w:rsidR="00000000" w:rsidDel="00000000" w:rsidP="00000000" w:rsidRDefault="00000000" w:rsidRPr="00000000" w14:paraId="00000049">
            <w:pPr>
              <w:spacing w:after="240" w:before="240" w:line="259" w:lineRule="auto"/>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 2. Desarrollo Propósito: Aplicar herramientas clínicas de evaluación nutricional y diseñar un plan de intervención. Acción del docente y estudiantes: Formar equipos que trabajen un caso clínico ampliado, identificar el riesgo nutricional con PG-SGA, proponer intervenciones escalonadas (consejería, suplementos, nutrición enteral/parenteral). Producto: Esquema en Genially o Canva con algoritmo de decisión clínica adaptado.</w:t>
            </w:r>
          </w:p>
          <w:p w:rsidR="00000000" w:rsidDel="00000000" w:rsidP="00000000" w:rsidRDefault="00000000" w:rsidRPr="00000000" w14:paraId="0000004A">
            <w:pPr>
              <w:spacing w:after="240" w:before="240" w:line="259" w:lineRule="auto"/>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 3. Cierre o conclusión Propósito: Reflexionar sobre los aspectos éticos del soporte nutricional en etapas avanzadas. Acción del estudiante: Compartir una postura argumentada sobre la nutrición artificial al final de la vida. Acción del docente: Facilitar lluvia de ideas sobre los aprendizajes y retos observados.</w:t>
            </w:r>
          </w:p>
          <w:p w:rsidR="00000000" w:rsidDel="00000000" w:rsidP="00000000" w:rsidRDefault="00000000" w:rsidRPr="00000000" w14:paraId="0000004B">
            <w:pPr>
              <w:spacing w:after="240" w:before="240" w:line="259" w:lineRule="auto"/>
              <w:rPr>
                <w:rFonts w:ascii="Quattrocento Sans" w:cs="Quattrocento Sans" w:eastAsia="Quattrocento Sans" w:hAnsi="Quattrocento Sans"/>
                <w:color w:val="0070c0"/>
              </w:rPr>
            </w:pPr>
            <w:r w:rsidDel="00000000" w:rsidR="00000000" w:rsidRPr="00000000">
              <w:rPr>
                <w:rtl w:val="0"/>
              </w:rPr>
            </w:r>
          </w:p>
          <w:p w:rsidR="00000000" w:rsidDel="00000000" w:rsidP="00000000" w:rsidRDefault="00000000" w:rsidRPr="00000000" w14:paraId="0000004C">
            <w:pPr>
              <w:rPr>
                <w:rFonts w:ascii="Arial" w:cs="Arial" w:eastAsia="Arial" w:hAnsi="Arial"/>
                <w:color w:val="0070c0"/>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4D">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E">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F">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0">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1">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2">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3">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4">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Evaluación</w:t>
            </w:r>
          </w:p>
        </w:tc>
        <w:tc>
          <w:tcPr>
            <w:shd w:fill="auto" w:val="clear"/>
          </w:tcPr>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800000"/>
                <w:sz w:val="22"/>
                <w:szCs w:val="22"/>
                <w:u w:val="none"/>
                <w:shd w:fill="auto" w:val="clear"/>
                <w:vertAlign w:val="baseline"/>
              </w:rPr>
            </w:pPr>
            <w:r w:rsidDel="00000000" w:rsidR="00000000" w:rsidRPr="00000000">
              <w:rPr>
                <w:rFonts w:ascii="Arial" w:cs="Arial" w:eastAsia="Arial" w:hAnsi="Arial"/>
                <w:color w:val="800000"/>
                <w:rtl w:val="0"/>
              </w:rPr>
              <w:t xml:space="preserve">https://docs.google.com/document/d/1QxSY6SmzXYolHkFDzgJGNnrSy0eCL6EX/edit?usp=drive_link&amp;ouid=111840670778893044024&amp;rtpof=true&amp;sd=true</w:t>
            </w: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57">
            <w:pPr>
              <w:rPr>
                <w:rFonts w:ascii="Arial" w:cs="Arial" w:eastAsia="Arial" w:hAnsi="Arial"/>
                <w:b w:val="0"/>
              </w:rPr>
            </w:pPr>
            <w:r w:rsidDel="00000000" w:rsidR="00000000" w:rsidRPr="00000000">
              <w:rPr>
                <w:rtl w:val="0"/>
              </w:rPr>
            </w:r>
          </w:p>
          <w:p w:rsidR="00000000" w:rsidDel="00000000" w:rsidP="00000000" w:rsidRDefault="00000000" w:rsidRPr="00000000" w14:paraId="00000058">
            <w:pPr>
              <w:rPr>
                <w:rFonts w:ascii="Arial" w:cs="Arial" w:eastAsia="Arial" w:hAnsi="Arial"/>
                <w:b w:val="0"/>
              </w:rPr>
            </w:pPr>
            <w:r w:rsidDel="00000000" w:rsidR="00000000" w:rsidRPr="00000000">
              <w:rPr>
                <w:rtl w:val="0"/>
              </w:rPr>
            </w:r>
          </w:p>
          <w:p w:rsidR="00000000" w:rsidDel="00000000" w:rsidP="00000000" w:rsidRDefault="00000000" w:rsidRPr="00000000" w14:paraId="00000059">
            <w:pPr>
              <w:rPr>
                <w:rFonts w:ascii="Arial" w:cs="Arial" w:eastAsia="Arial" w:hAnsi="Arial"/>
                <w:b w:val="0"/>
              </w:rPr>
            </w:pPr>
            <w:r w:rsidDel="00000000" w:rsidR="00000000" w:rsidRPr="00000000">
              <w:rPr>
                <w:rtl w:val="0"/>
              </w:rPr>
            </w:r>
          </w:p>
          <w:p w:rsidR="00000000" w:rsidDel="00000000" w:rsidP="00000000" w:rsidRDefault="00000000" w:rsidRPr="00000000" w14:paraId="0000005A">
            <w:pPr>
              <w:rPr>
                <w:rFonts w:ascii="Arial" w:cs="Arial" w:eastAsia="Arial" w:hAnsi="Arial"/>
                <w:b w:val="0"/>
              </w:rPr>
            </w:pPr>
            <w:r w:rsidDel="00000000" w:rsidR="00000000" w:rsidRPr="00000000">
              <w:rPr>
                <w:rtl w:val="0"/>
              </w:rPr>
            </w:r>
          </w:p>
          <w:p w:rsidR="00000000" w:rsidDel="00000000" w:rsidP="00000000" w:rsidRDefault="00000000" w:rsidRPr="00000000" w14:paraId="0000005B">
            <w:pPr>
              <w:rPr>
                <w:rFonts w:ascii="Arial" w:cs="Arial" w:eastAsia="Arial" w:hAnsi="Arial"/>
                <w:b w:val="0"/>
              </w:rPr>
            </w:pPr>
            <w:r w:rsidDel="00000000" w:rsidR="00000000" w:rsidRPr="00000000">
              <w:rPr>
                <w:rtl w:val="0"/>
              </w:rPr>
            </w:r>
          </w:p>
          <w:p w:rsidR="00000000" w:rsidDel="00000000" w:rsidP="00000000" w:rsidRDefault="00000000" w:rsidRPr="00000000" w14:paraId="0000005C">
            <w:pPr>
              <w:rPr>
                <w:rFonts w:ascii="Arial" w:cs="Arial" w:eastAsia="Arial" w:hAnsi="Arial"/>
                <w:b w:val="0"/>
              </w:rPr>
            </w:pPr>
            <w:r w:rsidDel="00000000" w:rsidR="00000000" w:rsidRPr="00000000">
              <w:rPr>
                <w:rtl w:val="0"/>
              </w:rPr>
            </w:r>
          </w:p>
          <w:p w:rsidR="00000000" w:rsidDel="00000000" w:rsidP="00000000" w:rsidRDefault="00000000" w:rsidRPr="00000000" w14:paraId="0000005D">
            <w:pPr>
              <w:rPr>
                <w:rFonts w:ascii="Arial" w:cs="Arial" w:eastAsia="Arial" w:hAnsi="Arial"/>
                <w:b w:val="0"/>
              </w:rPr>
            </w:pPr>
            <w:r w:rsidDel="00000000" w:rsidR="00000000" w:rsidRPr="00000000">
              <w:rPr>
                <w:rtl w:val="0"/>
              </w:rPr>
            </w:r>
          </w:p>
          <w:p w:rsidR="00000000" w:rsidDel="00000000" w:rsidP="00000000" w:rsidRDefault="00000000" w:rsidRPr="00000000" w14:paraId="0000005E">
            <w:pPr>
              <w:rPr>
                <w:rFonts w:ascii="Arial" w:cs="Arial" w:eastAsia="Arial" w:hAnsi="Arial"/>
                <w:b w:val="0"/>
              </w:rPr>
            </w:pPr>
            <w:r w:rsidDel="00000000" w:rsidR="00000000" w:rsidRPr="00000000">
              <w:rPr>
                <w:rtl w:val="0"/>
              </w:rPr>
            </w:r>
          </w:p>
          <w:p w:rsidR="00000000" w:rsidDel="00000000" w:rsidP="00000000" w:rsidRDefault="00000000" w:rsidRPr="00000000" w14:paraId="0000005F">
            <w:pPr>
              <w:rPr>
                <w:rFonts w:ascii="Arial" w:cs="Arial" w:eastAsia="Arial" w:hAnsi="Arial"/>
                <w:b w:val="0"/>
              </w:rPr>
            </w:pPr>
            <w:r w:rsidDel="00000000" w:rsidR="00000000" w:rsidRPr="00000000">
              <w:rPr>
                <w:rtl w:val="0"/>
              </w:rPr>
            </w:r>
          </w:p>
          <w:p w:rsidR="00000000" w:rsidDel="00000000" w:rsidP="00000000" w:rsidRDefault="00000000" w:rsidRPr="00000000" w14:paraId="00000060">
            <w:pPr>
              <w:rPr>
                <w:rFonts w:ascii="Arial" w:cs="Arial" w:eastAsia="Arial" w:hAnsi="Arial"/>
                <w:b w:val="0"/>
              </w:rPr>
            </w:pPr>
            <w:r w:rsidDel="00000000" w:rsidR="00000000" w:rsidRPr="00000000">
              <w:rPr>
                <w:rtl w:val="0"/>
              </w:rPr>
            </w:r>
          </w:p>
          <w:p w:rsidR="00000000" w:rsidDel="00000000" w:rsidP="00000000" w:rsidRDefault="00000000" w:rsidRPr="00000000" w14:paraId="00000061">
            <w:pPr>
              <w:rPr>
                <w:rFonts w:ascii="Arial" w:cs="Arial" w:eastAsia="Arial" w:hAnsi="Arial"/>
                <w:b w:val="0"/>
              </w:rPr>
            </w:pPr>
            <w:r w:rsidDel="00000000" w:rsidR="00000000" w:rsidRPr="00000000">
              <w:rPr>
                <w:rtl w:val="0"/>
              </w:rPr>
            </w:r>
          </w:p>
          <w:p w:rsidR="00000000" w:rsidDel="00000000" w:rsidP="00000000" w:rsidRDefault="00000000" w:rsidRPr="00000000" w14:paraId="00000062">
            <w:pPr>
              <w:rPr>
                <w:rFonts w:ascii="Arial" w:cs="Arial" w:eastAsia="Arial" w:hAnsi="Arial"/>
                <w:b w:val="0"/>
              </w:rPr>
            </w:pPr>
            <w:r w:rsidDel="00000000" w:rsidR="00000000" w:rsidRPr="00000000">
              <w:rPr>
                <w:rtl w:val="0"/>
              </w:rPr>
            </w:r>
          </w:p>
          <w:p w:rsidR="00000000" w:rsidDel="00000000" w:rsidP="00000000" w:rsidRDefault="00000000" w:rsidRPr="00000000" w14:paraId="00000063">
            <w:pPr>
              <w:rPr>
                <w:rFonts w:ascii="Arial" w:cs="Arial" w:eastAsia="Arial" w:hAnsi="Arial"/>
                <w:b w:val="0"/>
              </w:rPr>
            </w:pPr>
            <w:r w:rsidDel="00000000" w:rsidR="00000000" w:rsidRPr="00000000">
              <w:rPr>
                <w:rtl w:val="0"/>
              </w:rPr>
            </w:r>
          </w:p>
          <w:p w:rsidR="00000000" w:rsidDel="00000000" w:rsidP="00000000" w:rsidRDefault="00000000" w:rsidRPr="00000000" w14:paraId="00000064">
            <w:pPr>
              <w:rPr>
                <w:rFonts w:ascii="Arial" w:cs="Arial" w:eastAsia="Arial" w:hAnsi="Arial"/>
                <w:b w:val="0"/>
              </w:rPr>
            </w:pPr>
            <w:r w:rsidDel="00000000" w:rsidR="00000000" w:rsidRPr="00000000">
              <w:rPr>
                <w:rtl w:val="0"/>
              </w:rPr>
            </w:r>
          </w:p>
          <w:p w:rsidR="00000000" w:rsidDel="00000000" w:rsidP="00000000" w:rsidRDefault="00000000" w:rsidRPr="00000000" w14:paraId="00000065">
            <w:pPr>
              <w:rPr>
                <w:rFonts w:ascii="Arial" w:cs="Arial" w:eastAsia="Arial" w:hAnsi="Arial"/>
                <w:b w:val="0"/>
              </w:rPr>
            </w:pPr>
            <w:r w:rsidDel="00000000" w:rsidR="00000000" w:rsidRPr="00000000">
              <w:rPr>
                <w:rtl w:val="0"/>
              </w:rPr>
            </w:r>
          </w:p>
          <w:p w:rsidR="00000000" w:rsidDel="00000000" w:rsidP="00000000" w:rsidRDefault="00000000" w:rsidRPr="00000000" w14:paraId="00000066">
            <w:pPr>
              <w:rPr>
                <w:rFonts w:ascii="Arial" w:cs="Arial" w:eastAsia="Arial" w:hAnsi="Arial"/>
                <w:b w:val="0"/>
              </w:rPr>
            </w:pPr>
            <w:r w:rsidDel="00000000" w:rsidR="00000000" w:rsidRPr="00000000">
              <w:rPr>
                <w:rtl w:val="0"/>
              </w:rPr>
            </w:r>
          </w:p>
          <w:p w:rsidR="00000000" w:rsidDel="00000000" w:rsidP="00000000" w:rsidRDefault="00000000" w:rsidRPr="00000000" w14:paraId="00000067">
            <w:pPr>
              <w:jc w:val="center"/>
              <w:rPr>
                <w:rFonts w:ascii="Arial" w:cs="Arial" w:eastAsia="Arial" w:hAnsi="Arial"/>
              </w:rPr>
            </w:pPr>
            <w:r w:rsidDel="00000000" w:rsidR="00000000" w:rsidRPr="00000000">
              <w:rPr>
                <w:rFonts w:ascii="Arial" w:cs="Arial" w:eastAsia="Arial" w:hAnsi="Arial"/>
                <w:rtl w:val="0"/>
              </w:rPr>
              <w:t xml:space="preserve">Foro de discusión</w:t>
            </w:r>
          </w:p>
        </w:tc>
        <w:tc>
          <w:tcPr>
            <w:shd w:fill="auto" w:val="clear"/>
          </w:tcPr>
          <w:p w:rsidR="00000000" w:rsidDel="00000000" w:rsidP="00000000" w:rsidRDefault="00000000" w:rsidRPr="00000000" w14:paraId="00000068">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Foro:Título: Decisiones difíciles: Nutrición y confort en el cáncer avanzado Instrucciones:</w:t>
            </w:r>
          </w:p>
          <w:p w:rsidR="00000000" w:rsidDel="00000000" w:rsidP="00000000" w:rsidRDefault="00000000" w:rsidRPr="00000000" w14:paraId="00000069">
            <w:pPr>
              <w:numPr>
                <w:ilvl w:val="0"/>
                <w:numId w:val="4"/>
              </w:numPr>
              <w:spacing w:after="0" w:afterAutospacing="0" w:before="240" w:lineRule="auto"/>
              <w:ind w:left="720" w:hanging="360"/>
              <w:rPr>
                <w:rFonts w:ascii="Arial" w:cs="Arial" w:eastAsia="Arial" w:hAnsi="Arial"/>
                <w:b w:val="1"/>
              </w:rPr>
            </w:pPr>
            <w:r w:rsidDel="00000000" w:rsidR="00000000" w:rsidRPr="00000000">
              <w:rPr>
                <w:rFonts w:ascii="Arial" w:cs="Arial" w:eastAsia="Arial" w:hAnsi="Arial"/>
                <w:b w:val="1"/>
                <w:rtl w:val="0"/>
              </w:rPr>
              <w:t xml:space="preserve">Reflexiona sobre el siguiente caso: "Una mujer de 68 años con cáncer de páncreas avanzado y caquexia severa solicita "alimentación por vena". ¿Cómo abordarías esta solicitud desde tu rol profesional?"</w:t>
            </w:r>
          </w:p>
          <w:p w:rsidR="00000000" w:rsidDel="00000000" w:rsidP="00000000" w:rsidRDefault="00000000" w:rsidRPr="00000000" w14:paraId="0000006A">
            <w:pPr>
              <w:numPr>
                <w:ilvl w:val="0"/>
                <w:numId w:val="4"/>
              </w:numPr>
              <w:spacing w:after="0" w:afterAutospacing="0" w:before="0" w:beforeAutospacing="0" w:lineRule="auto"/>
              <w:ind w:left="720" w:hanging="360"/>
              <w:rPr>
                <w:rFonts w:ascii="Arial" w:cs="Arial" w:eastAsia="Arial" w:hAnsi="Arial"/>
                <w:b w:val="1"/>
              </w:rPr>
            </w:pPr>
            <w:r w:rsidDel="00000000" w:rsidR="00000000" w:rsidRPr="00000000">
              <w:rPr>
                <w:rFonts w:ascii="Arial" w:cs="Arial" w:eastAsia="Arial" w:hAnsi="Arial"/>
                <w:b w:val="1"/>
                <w:rtl w:val="0"/>
              </w:rPr>
              <w:t xml:space="preserve">Mínimo 5 renglones, máximo 15 líneas.</w:t>
            </w:r>
          </w:p>
          <w:p w:rsidR="00000000" w:rsidDel="00000000" w:rsidP="00000000" w:rsidRDefault="00000000" w:rsidRPr="00000000" w14:paraId="0000006B">
            <w:pPr>
              <w:numPr>
                <w:ilvl w:val="0"/>
                <w:numId w:val="4"/>
              </w:numPr>
              <w:spacing w:after="0" w:afterAutospacing="0" w:before="0" w:beforeAutospacing="0" w:lineRule="auto"/>
              <w:ind w:left="720" w:hanging="360"/>
              <w:rPr>
                <w:rFonts w:ascii="Arial" w:cs="Arial" w:eastAsia="Arial" w:hAnsi="Arial"/>
                <w:b w:val="1"/>
              </w:rPr>
            </w:pPr>
            <w:r w:rsidDel="00000000" w:rsidR="00000000" w:rsidRPr="00000000">
              <w:rPr>
                <w:rFonts w:ascii="Arial" w:cs="Arial" w:eastAsia="Arial" w:hAnsi="Arial"/>
                <w:b w:val="1"/>
                <w:rtl w:val="0"/>
              </w:rPr>
              <w:t xml:space="preserve">Comenta al menos dos participaciones de compañeros.</w:t>
            </w:r>
          </w:p>
          <w:p w:rsidR="00000000" w:rsidDel="00000000" w:rsidP="00000000" w:rsidRDefault="00000000" w:rsidRPr="00000000" w14:paraId="0000006C">
            <w:pPr>
              <w:numPr>
                <w:ilvl w:val="0"/>
                <w:numId w:val="4"/>
              </w:numPr>
              <w:spacing w:after="240" w:before="0" w:beforeAutospacing="0" w:lineRule="auto"/>
              <w:ind w:left="720" w:hanging="360"/>
              <w:rPr>
                <w:rFonts w:ascii="Arial" w:cs="Arial" w:eastAsia="Arial" w:hAnsi="Arial"/>
                <w:b w:val="1"/>
              </w:rPr>
            </w:pPr>
            <w:r w:rsidDel="00000000" w:rsidR="00000000" w:rsidRPr="00000000">
              <w:rPr>
                <w:rFonts w:ascii="Arial" w:cs="Arial" w:eastAsia="Arial" w:hAnsi="Arial"/>
                <w:b w:val="1"/>
                <w:rtl w:val="0"/>
              </w:rPr>
              <w:t xml:space="preserve">Usa referencias en formato APA 7, lenguaje respetuoso y enfoque centrado en la persona.</w:t>
            </w:r>
          </w:p>
          <w:p w:rsidR="00000000" w:rsidDel="00000000" w:rsidP="00000000" w:rsidRDefault="00000000" w:rsidRPr="00000000" w14:paraId="0000006D">
            <w:pPr>
              <w:spacing w:after="240" w:befor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ind w:left="720" w:firstLine="0"/>
              <w:rPr>
                <w:rFonts w:ascii="Arial" w:cs="Arial" w:eastAsia="Arial" w:hAnsi="Arial"/>
                <w:b w:val="1"/>
                <w:color w:val="c00000"/>
                <w:u w:val="single"/>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6F">
            <w:pPr>
              <w:rPr>
                <w:rFonts w:ascii="Arial" w:cs="Arial" w:eastAsia="Arial" w:hAnsi="Arial"/>
                <w:b w:val="0"/>
              </w:rPr>
            </w:pPr>
            <w:r w:rsidDel="00000000" w:rsidR="00000000" w:rsidRPr="00000000">
              <w:rPr>
                <w:rtl w:val="0"/>
              </w:rPr>
            </w:r>
          </w:p>
          <w:p w:rsidR="00000000" w:rsidDel="00000000" w:rsidP="00000000" w:rsidRDefault="00000000" w:rsidRPr="00000000" w14:paraId="00000070">
            <w:pPr>
              <w:rPr>
                <w:rFonts w:ascii="Arial" w:cs="Arial" w:eastAsia="Arial" w:hAnsi="Arial"/>
                <w:b w:val="0"/>
              </w:rPr>
            </w:pPr>
            <w:r w:rsidDel="00000000" w:rsidR="00000000" w:rsidRPr="00000000">
              <w:rPr>
                <w:rtl w:val="0"/>
              </w:rPr>
            </w:r>
          </w:p>
          <w:p w:rsidR="00000000" w:rsidDel="00000000" w:rsidP="00000000" w:rsidRDefault="00000000" w:rsidRPr="00000000" w14:paraId="00000071">
            <w:pPr>
              <w:rPr>
                <w:rFonts w:ascii="Arial" w:cs="Arial" w:eastAsia="Arial" w:hAnsi="Arial"/>
                <w:b w:val="0"/>
              </w:rPr>
            </w:pPr>
            <w:r w:rsidDel="00000000" w:rsidR="00000000" w:rsidRPr="00000000">
              <w:rPr>
                <w:rtl w:val="0"/>
              </w:rPr>
            </w:r>
          </w:p>
          <w:p w:rsidR="00000000" w:rsidDel="00000000" w:rsidP="00000000" w:rsidRDefault="00000000" w:rsidRPr="00000000" w14:paraId="00000072">
            <w:pPr>
              <w:rPr>
                <w:rFonts w:ascii="Arial" w:cs="Arial" w:eastAsia="Arial" w:hAnsi="Arial"/>
                <w:b w:val="0"/>
              </w:rPr>
            </w:pPr>
            <w:r w:rsidDel="00000000" w:rsidR="00000000" w:rsidRPr="00000000">
              <w:rPr>
                <w:rtl w:val="0"/>
              </w:rPr>
            </w:r>
          </w:p>
          <w:p w:rsidR="00000000" w:rsidDel="00000000" w:rsidP="00000000" w:rsidRDefault="00000000" w:rsidRPr="00000000" w14:paraId="00000073">
            <w:pPr>
              <w:rPr>
                <w:rFonts w:ascii="Arial" w:cs="Arial" w:eastAsia="Arial" w:hAnsi="Arial"/>
                <w:b w:val="0"/>
              </w:rPr>
            </w:pPr>
            <w:r w:rsidDel="00000000" w:rsidR="00000000" w:rsidRPr="00000000">
              <w:rPr>
                <w:rtl w:val="0"/>
              </w:rPr>
            </w:r>
          </w:p>
          <w:p w:rsidR="00000000" w:rsidDel="00000000" w:rsidP="00000000" w:rsidRDefault="00000000" w:rsidRPr="00000000" w14:paraId="00000074">
            <w:pPr>
              <w:jc w:val="center"/>
              <w:rPr>
                <w:rFonts w:ascii="Arial" w:cs="Arial" w:eastAsia="Arial" w:hAnsi="Arial"/>
              </w:rPr>
            </w:pPr>
            <w:r w:rsidDel="00000000" w:rsidR="00000000" w:rsidRPr="00000000">
              <w:rPr>
                <w:rFonts w:ascii="Arial" w:cs="Arial" w:eastAsia="Arial" w:hAnsi="Arial"/>
                <w:rtl w:val="0"/>
              </w:rPr>
              <w:t xml:space="preserve">Conclusiones de la sesión</w:t>
            </w:r>
          </w:p>
        </w:tc>
        <w:tc>
          <w:tcPr>
            <w:shd w:fill="auto" w:val="clear"/>
          </w:tcPr>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i w:val="0"/>
                <w:smallCaps w:val="0"/>
                <w:strike w:val="0"/>
                <w:color w:val="8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76">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jc w:val="both"/>
              <w:rPr>
                <w:rFonts w:ascii="Arial" w:cs="Arial" w:eastAsia="Arial" w:hAnsi="Arial"/>
                <w:color w:val="0d0d0d"/>
                <w:sz w:val="24"/>
                <w:szCs w:val="24"/>
              </w:rPr>
            </w:pPr>
            <w:r w:rsidDel="00000000" w:rsidR="00000000" w:rsidRPr="00000000">
              <w:rPr>
                <w:rFonts w:ascii="Arial" w:cs="Arial" w:eastAsia="Arial" w:hAnsi="Arial"/>
                <w:color w:val="0d0d0d"/>
                <w:sz w:val="24"/>
                <w:szCs w:val="24"/>
                <w:rtl w:val="0"/>
              </w:rPr>
              <w:t xml:space="preserve">Reconocimos el soporte nutricional como una herramienta fundamental para mejorar la respuesta terapéutica y la calidad de vida de las personas con cáncer. Aprendimos a utilizar herramientas validadas de evaluación nutricional, identificar escenarios clínicos donde intervenir y reflexionamos sobre los principios éticos que deben guiar nuestras decisiones, especialmente en etapas avanzadas. En la próxima sesión profundizaremos en la comunicación con pacientes y familias en torno a decisiones clínicas difíciles.</w:t>
            </w:r>
          </w:p>
          <w:p w:rsidR="00000000" w:rsidDel="00000000" w:rsidP="00000000" w:rsidRDefault="00000000" w:rsidRPr="00000000" w14:paraId="00000077">
            <w:pPr>
              <w:jc w:val="both"/>
              <w:rPr>
                <w:rFonts w:ascii="Arial" w:cs="Arial" w:eastAsia="Arial" w:hAnsi="Arial"/>
                <w:b w:val="1"/>
                <w:color w:val="800000"/>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color w:val="800000"/>
              </w:rPr>
            </w:pPr>
            <w:r w:rsidDel="00000000" w:rsidR="00000000" w:rsidRPr="00000000">
              <w:rPr>
                <w:rtl w:val="0"/>
              </w:rPr>
            </w:r>
          </w:p>
        </w:tc>
      </w:tr>
    </w:tbl>
    <w:p w:rsidR="00000000" w:rsidDel="00000000" w:rsidP="00000000" w:rsidRDefault="00000000" w:rsidRPr="00000000" w14:paraId="00000079">
      <w:pPr>
        <w:jc w:val="both"/>
        <w:rPr>
          <w:rFonts w:ascii="Arial" w:cs="Arial" w:eastAsia="Arial" w:hAnsi="Arial"/>
        </w:rPr>
      </w:pPr>
      <w:r w:rsidDel="00000000" w:rsidR="00000000" w:rsidRPr="00000000">
        <w:rPr>
          <w:rtl w:val="0"/>
        </w:rPr>
      </w:r>
    </w:p>
    <w:sectPr>
      <w:footerReference r:id="rId7"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i w:val="0"/>
        <w:smallCaps w:val="1"/>
        <w:strike w:val="0"/>
        <w:color w:val="4472c4"/>
        <w:sz w:val="22"/>
        <w:szCs w:val="22"/>
        <w:u w:val="none"/>
        <w:shd w:fill="auto" w:val="clear"/>
        <w:vertAlign w:val="baseline"/>
      </w:rPr>
    </w:pPr>
    <w:r w:rsidDel="00000000" w:rsidR="00000000" w:rsidRPr="00000000">
      <w:rPr>
        <w:rFonts w:ascii="Calibri" w:cs="Calibri" w:eastAsia="Calibri" w:hAnsi="Calibri"/>
        <w:b w:val="0"/>
        <w:i w:val="0"/>
        <w:smallCaps w:val="1"/>
        <w:strike w:val="0"/>
        <w:color w:val="4472c4"/>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0" w:line="240" w:lineRule="auto"/>
      <w:jc w:val="center"/>
    </w:pPr>
    <w:rPr>
      <w:rFonts w:ascii="Roboto" w:cs="Roboto" w:eastAsia="Roboto" w:hAnsi="Roboto"/>
      <w:color w:val="ffffff"/>
      <w:sz w:val="24"/>
      <w:szCs w:val="24"/>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472c4"/>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link w:val="EncabezadoCar"/>
    <w:uiPriority w:val="99"/>
    <w:unhideWhenUsed w:val="1"/>
    <w:rsid w:val="00674990"/>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674990"/>
  </w:style>
  <w:style w:type="paragraph" w:styleId="Piedepgina">
    <w:name w:val="footer"/>
    <w:basedOn w:val="Normal"/>
    <w:link w:val="PiedepginaCar"/>
    <w:uiPriority w:val="99"/>
    <w:unhideWhenUsed w:val="1"/>
    <w:rsid w:val="00674990"/>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674990"/>
  </w:style>
  <w:style w:type="paragraph" w:styleId="Revisin">
    <w:name w:val="Revision"/>
    <w:hidden w:val="1"/>
    <w:uiPriority w:val="99"/>
    <w:semiHidden w:val="1"/>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aconcuadrcula4-nfasis51" w:customStyle="1">
    <w:name w:val="Tabla con cuadrícula 4 - Énfasis 51"/>
    <w:basedOn w:val="Tablanormal"/>
    <w:uiPriority w:val="49"/>
    <w:rsid w:val="00674990"/>
    <w:pPr>
      <w:spacing w:after="0" w:line="240" w:lineRule="auto"/>
    </w:pPr>
    <w:tblPr>
      <w:tblStyleRowBandSize w:val="1"/>
      <w:tblStyleColBandSize w:val="1"/>
      <w:tblBorders>
        <w:top w:color="9cc2e5" w:space="0" w:sz="4" w:themeColor="accent5" w:themeTint="000099" w:val="single"/>
        <w:left w:color="9cc2e5" w:space="0" w:sz="4" w:themeColor="accent5" w:themeTint="000099" w:val="single"/>
        <w:bottom w:color="9cc2e5" w:space="0" w:sz="4" w:themeColor="accent5" w:themeTint="000099" w:val="single"/>
        <w:right w:color="9cc2e5" w:space="0" w:sz="4" w:themeColor="accent5" w:themeTint="000099" w:val="single"/>
        <w:insideH w:color="9cc2e5" w:space="0" w:sz="4" w:themeColor="accent5" w:themeTint="000099" w:val="single"/>
        <w:insideV w:color="9cc2e5" w:space="0" w:sz="4" w:themeColor="accent5" w:themeTint="000099" w:val="single"/>
      </w:tblBorders>
    </w:tblPr>
    <w:tblStylePr w:type="firstRow">
      <w:rPr>
        <w:b w:val="1"/>
        <w:bCs w:val="1"/>
        <w:color w:val="ffffff" w:themeColor="background1"/>
      </w:rPr>
      <w:tblPr/>
      <w:tcPr>
        <w:tcBorders>
          <w:top w:color="5b9bd5" w:space="0" w:sz="4" w:themeColor="accent5" w:val="single"/>
          <w:left w:color="5b9bd5" w:space="0" w:sz="4" w:themeColor="accent5" w:val="single"/>
          <w:bottom w:color="5b9bd5" w:space="0" w:sz="4" w:themeColor="accent5" w:val="single"/>
          <w:right w:color="5b9bd5" w:space="0" w:sz="4" w:themeColor="accent5" w:val="single"/>
          <w:insideH w:space="0" w:sz="0" w:val="nil"/>
          <w:insideV w:space="0" w:sz="0" w:val="nil"/>
        </w:tcBorders>
        <w:shd w:color="auto" w:fill="5b9bd5" w:themeFill="accent5" w:val="clear"/>
      </w:tcPr>
    </w:tblStylePr>
    <w:tblStylePr w:type="lastRow">
      <w:rPr>
        <w:b w:val="1"/>
        <w:bCs w:val="1"/>
      </w:rPr>
      <w:tblPr/>
      <w:tcPr>
        <w:tcBorders>
          <w:top w:color="5b9bd5" w:space="0" w:sz="4" w:themeColor="accent5" w:val="double"/>
        </w:tcBorders>
      </w:tcPr>
    </w:tblStylePr>
    <w:tblStylePr w:type="firstCol">
      <w:rPr>
        <w:b w:val="1"/>
        <w:bCs w:val="1"/>
      </w:rPr>
    </w:tblStylePr>
    <w:tblStylePr w:type="lastCol">
      <w:rPr>
        <w:b w:val="1"/>
        <w:bCs w:val="1"/>
      </w:rPr>
    </w:tblStylePr>
    <w:tblStylePr w:type="band1Vert">
      <w:tblPr/>
      <w:tcPr>
        <w:shd w:color="auto" w:fill="deeaf6" w:themeFill="accent5" w:themeFillTint="000033" w:val="clear"/>
      </w:tcPr>
    </w:tblStylePr>
    <w:tblStylePr w:type="band1Horz">
      <w:tblPr/>
      <w:tcPr>
        <w:shd w:color="auto" w:fill="deeaf6" w:themeFill="accent5" w:themeFillTint="000033" w:val="clear"/>
      </w:tcPr>
    </w:tblStylePr>
  </w:style>
  <w:style w:type="table" w:styleId="Tablaconcuadrcula5oscura-nfasis11" w:customStyle="1">
    <w:name w:val="Tabla con cuadrícula 5 oscura - Énfasis 11"/>
    <w:basedOn w:val="Tablanormal"/>
    <w:uiPriority w:val="50"/>
    <w:rsid w:val="00674990"/>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e2f3"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72c4"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72c4"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72c4"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72c4" w:themeFill="accent1" w:val="clear"/>
      </w:tcPr>
    </w:tblStylePr>
    <w:tblStylePr w:type="band1Vert">
      <w:tblPr/>
      <w:tcPr>
        <w:shd w:color="auto" w:fill="b4c6e7" w:themeFill="accent1" w:themeFillTint="000066" w:val="clear"/>
      </w:tcPr>
    </w:tblStylePr>
    <w:tblStylePr w:type="band1Horz">
      <w:tblPr/>
      <w:tcPr>
        <w:shd w:color="auto" w:fill="b4c6e7" w:themeFill="accent1" w:themeFillTint="000066" w:val="clear"/>
      </w:tcPr>
    </w:tblStylePr>
  </w:style>
  <w:style w:type="table" w:styleId="Tablaconcuadrcula5oscura-nfasis51" w:customStyle="1">
    <w:name w:val="Tabla con cuadrícula 5 oscura - Énfasis 51"/>
    <w:basedOn w:val="Tablanormal"/>
    <w:uiPriority w:val="50"/>
    <w:rsid w:val="006D61DC"/>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eeaf6"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5b9bd5"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5b9bd5" w:themeFill="accent5" w:val="clear"/>
      </w:tcPr>
    </w:tblStylePr>
    <w:tblStylePr w:type="band1Vert">
      <w:tblPr/>
      <w:tcPr>
        <w:shd w:color="auto" w:fill="bdd6ee" w:themeFill="accent5" w:themeFillTint="000066" w:val="clear"/>
      </w:tcPr>
    </w:tblStylePr>
    <w:tblStylePr w:type="band1Horz">
      <w:tblPr/>
      <w:tcPr>
        <w:shd w:color="auto" w:fill="bdd6ee" w:themeFill="accent5" w:themeFillTint="000066" w:val="clear"/>
      </w:tcPr>
    </w:tblStylePr>
  </w:style>
  <w:style w:type="paragraph" w:styleId="NormalWeb">
    <w:name w:val="Normal (Web)"/>
    <w:basedOn w:val="Normal"/>
    <w:uiPriority w:val="99"/>
    <w:unhideWhenUsed w:val="1"/>
    <w:rsid w:val="00EF3896"/>
    <w:pPr>
      <w:spacing w:after="100" w:afterAutospacing="1" w:before="100" w:beforeAutospacing="1" w:line="240" w:lineRule="auto"/>
    </w:pPr>
    <w:rPr>
      <w:rFonts w:ascii="Times New Roman" w:cs="Times New Roman" w:eastAsia="Times New Roman" w:hAnsi="Times New Roman"/>
      <w:sz w:val="24"/>
      <w:szCs w:val="24"/>
      <w:lang w:eastAsia="es-ES"/>
    </w:rPr>
  </w:style>
  <w:style w:type="paragraph" w:styleId="Prrafodelista">
    <w:name w:val="List Paragraph"/>
    <w:basedOn w:val="Normal"/>
    <w:uiPriority w:val="34"/>
    <w:qFormat w:val="1"/>
    <w:rsid w:val="009E2580"/>
    <w:pPr>
      <w:ind w:left="720"/>
      <w:contextualSpacing w:val="1"/>
    </w:pPr>
  </w:style>
  <w:style w:type="character" w:styleId="Hipervnculo">
    <w:name w:val="Hyperlink"/>
    <w:basedOn w:val="Fuentedeprrafopredeter"/>
    <w:uiPriority w:val="99"/>
    <w:unhideWhenUsed w:val="1"/>
    <w:rsid w:val="008D30E3"/>
    <w:rPr>
      <w:color w:val="0563c1" w:themeColor="hyperlink"/>
      <w:u w:val="single"/>
    </w:rPr>
  </w:style>
  <w:style w:type="character" w:styleId="Mencinsinresolver1" w:customStyle="1">
    <w:name w:val="Mención sin resolver1"/>
    <w:basedOn w:val="Fuentedeprrafopredeter"/>
    <w:uiPriority w:val="99"/>
    <w:semiHidden w:val="1"/>
    <w:unhideWhenUsed w:val="1"/>
    <w:rsid w:val="008D30E3"/>
    <w:rPr>
      <w:color w:val="605e5c"/>
      <w:shd w:color="auto" w:fill="e1dfdd" w:val="clear"/>
    </w:rPr>
  </w:style>
  <w:style w:type="character" w:styleId="apple-tab-span" w:customStyle="1">
    <w:name w:val="apple-tab-span"/>
    <w:basedOn w:val="Fuentedeprrafopredeter"/>
    <w:rsid w:val="00FD0BE2"/>
  </w:style>
  <w:style w:type="paragraph" w:styleId="Textodeglobo">
    <w:name w:val="Balloon Text"/>
    <w:basedOn w:val="Normal"/>
    <w:link w:val="TextodegloboCar"/>
    <w:uiPriority w:val="99"/>
    <w:semiHidden w:val="1"/>
    <w:unhideWhenUsed w:val="1"/>
    <w:rsid w:val="0010600B"/>
    <w:pPr>
      <w:spacing w:after="0"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10600B"/>
    <w:rPr>
      <w:rFonts w:ascii="Segoe UI" w:cs="Segoe UI" w:hAnsi="Segoe UI"/>
      <w:sz w:val="18"/>
      <w:szCs w:val="18"/>
    </w:rPr>
  </w:style>
  <w:style w:type="character" w:styleId="Refdecomentario">
    <w:name w:val="annotation reference"/>
    <w:basedOn w:val="Fuentedeprrafopredeter"/>
    <w:uiPriority w:val="99"/>
    <w:semiHidden w:val="1"/>
    <w:unhideWhenUsed w:val="1"/>
    <w:rsid w:val="00811C4F"/>
    <w:rPr>
      <w:sz w:val="16"/>
      <w:szCs w:val="16"/>
    </w:rPr>
  </w:style>
  <w:style w:type="paragraph" w:styleId="Textocomentario">
    <w:name w:val="annotation text"/>
    <w:basedOn w:val="Normal"/>
    <w:link w:val="TextocomentarioCar"/>
    <w:uiPriority w:val="99"/>
    <w:unhideWhenUsed w:val="1"/>
    <w:rsid w:val="00811C4F"/>
    <w:pPr>
      <w:spacing w:line="240" w:lineRule="auto"/>
    </w:pPr>
    <w:rPr>
      <w:sz w:val="20"/>
      <w:szCs w:val="20"/>
    </w:rPr>
  </w:style>
  <w:style w:type="character" w:styleId="TextocomentarioCar" w:customStyle="1">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val="1"/>
    <w:unhideWhenUsed w:val="1"/>
    <w:rsid w:val="00811C4F"/>
    <w:rPr>
      <w:b w:val="1"/>
      <w:bCs w:val="1"/>
    </w:rPr>
  </w:style>
  <w:style w:type="character" w:styleId="AsuntodelcomentarioCar" w:customStyle="1">
    <w:name w:val="Asunto del comentario Car"/>
    <w:basedOn w:val="TextocomentarioCar"/>
    <w:link w:val="Asuntodelcomentario"/>
    <w:uiPriority w:val="99"/>
    <w:semiHidden w:val="1"/>
    <w:rsid w:val="00811C4F"/>
    <w:rPr>
      <w:b w:val="1"/>
      <w:bCs w:val="1"/>
      <w:sz w:val="20"/>
      <w:szCs w:val="20"/>
    </w:rPr>
  </w:style>
  <w:style w:type="character" w:styleId="Mencinsinresolver2" w:customStyle="1">
    <w:name w:val="Mención sin resolver2"/>
    <w:basedOn w:val="Fuentedeprrafopredeter"/>
    <w:uiPriority w:val="99"/>
    <w:semiHidden w:val="1"/>
    <w:unhideWhenUsed w:val="1"/>
    <w:rsid w:val="009405E0"/>
    <w:rPr>
      <w:color w:val="605e5c"/>
      <w:shd w:color="auto" w:fill="e1dfdd" w:val="clear"/>
    </w:rPr>
  </w:style>
  <w:style w:type="character" w:styleId="Ttulo1Car" w:customStyle="1">
    <w:name w:val="Título 1 Car"/>
    <w:basedOn w:val="Fuentedeprrafopredeter"/>
    <w:link w:val="Ttulo1"/>
    <w:rsid w:val="000211A8"/>
    <w:rPr>
      <w:rFonts w:ascii="Roboto" w:cs="Roboto" w:eastAsia="Roboto" w:hAnsi="Roboto"/>
      <w:color w:val="ffffff"/>
      <w:sz w:val="24"/>
      <w:szCs w:val="24"/>
      <w:lang w:eastAsia="es-MX" w:val="es-ES_tradnl"/>
    </w:rPr>
  </w:style>
  <w:style w:type="paragraph" w:styleId="Standard" w:customStyle="1">
    <w:name w:val="Standard"/>
    <w:rsid w:val="00BE0067"/>
    <w:pPr>
      <w:suppressAutoHyphens w:val="1"/>
      <w:autoSpaceDN w:val="0"/>
      <w:spacing w:after="0" w:line="240" w:lineRule="auto"/>
      <w:textAlignment w:val="baseline"/>
    </w:pPr>
    <w:rPr>
      <w:rFonts w:ascii="Cambria" w:cs="Cambria" w:eastAsia="Cambria" w:hAnsi="Cambria"/>
      <w:kern w:val="3"/>
      <w:sz w:val="24"/>
      <w:szCs w:val="24"/>
      <w:lang w:eastAsia="es-MX"/>
    </w:rPr>
  </w:style>
  <w:style w:type="character" w:styleId="Ttulo2Car" w:customStyle="1">
    <w:name w:val="Título 2 Car"/>
    <w:basedOn w:val="Fuentedeprrafopredeter"/>
    <w:link w:val="Ttulo2"/>
    <w:uiPriority w:val="9"/>
    <w:semiHidden w:val="1"/>
    <w:rsid w:val="000D06AA"/>
    <w:rPr>
      <w:rFonts w:asciiTheme="majorHAnsi" w:cstheme="majorBidi" w:eastAsiaTheme="majorEastAsia" w:hAnsiTheme="majorHAnsi"/>
      <w:b w:val="1"/>
      <w:bCs w:val="1"/>
      <w:color w:val="4472c4" w:themeColor="accent1"/>
      <w:sz w:val="26"/>
      <w:szCs w:val="26"/>
    </w:rPr>
  </w:style>
  <w:style w:type="paragraph" w:styleId="Sinespaciado">
    <w:name w:val="No Spacing"/>
    <w:uiPriority w:val="1"/>
    <w:qFormat w:val="1"/>
    <w:rsid w:val="006676C4"/>
    <w:pPr>
      <w:spacing w:after="0" w:line="240" w:lineRule="auto"/>
    </w:pPr>
  </w:style>
  <w:style w:type="numbering" w:styleId="WWNum12" w:customStyle="1">
    <w:name w:val="WWNum12"/>
    <w:basedOn w:val="Sinlista"/>
    <w:rsid w:val="003B327B"/>
    <w:pPr>
      <w:numPr>
        <w:numId w:val="6"/>
      </w:numPr>
    </w:pPr>
  </w:style>
  <w:style w:type="numbering" w:styleId="WWNum18" w:customStyle="1">
    <w:name w:val="WWNum18"/>
    <w:basedOn w:val="Sinlista"/>
    <w:rsid w:val="003B327B"/>
    <w:pPr>
      <w:numPr>
        <w:numId w:val="7"/>
      </w:numPr>
    </w:pPr>
  </w:style>
  <w:style w:type="numbering" w:styleId="WWNum21" w:customStyle="1">
    <w:name w:val="WWNum21"/>
    <w:basedOn w:val="Sinlista"/>
    <w:rsid w:val="003B327B"/>
    <w:pPr>
      <w:numPr>
        <w:numId w:val="8"/>
      </w:numPr>
    </w:pPr>
  </w:style>
  <w:style w:type="character" w:styleId="tl8wme" w:customStyle="1">
    <w:name w:val="tl8wme"/>
    <w:basedOn w:val="Fuentedeprrafopredeter"/>
    <w:rsid w:val="004777D0"/>
  </w:style>
  <w:style w:type="character" w:styleId="Hipervnculovisitado">
    <w:name w:val="FollowedHyperlink"/>
    <w:basedOn w:val="Fuentedeprrafopredeter"/>
    <w:uiPriority w:val="99"/>
    <w:semiHidden w:val="1"/>
    <w:unhideWhenUsed w:val="1"/>
    <w:rsid w:val="009353F6"/>
    <w:rPr>
      <w:color w:val="954f72" w:themeColor="followedHyperlink"/>
      <w:u w:val="single"/>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wKtkS0xW4b5eH1voaXb1y5VsA==">CgMxLjA4AHIhMUVvOW5paFlFNWRrcTNFX1Q1TF9HeWxuSFAxXzJVSmZz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2025-05-27T04:46:00Z</dcterms:created>
  <dc:creator>Viviana Toledo Aranda</dc:creator>
</cp:coreProperties>
</file>