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color w:val="00206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  <w:color w:val="00206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8"/>
          <w:szCs w:val="28"/>
          <w:rtl w:val="0"/>
        </w:rPr>
        <w:t xml:space="preserve">ACADÉMICA DE APRENDIZAJE CONTINUO Y ACTUALIZACIÓN</w:t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  <w:b w:val="1"/>
          <w:color w:val="00206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4"/>
          <w:szCs w:val="24"/>
          <w:rtl w:val="0"/>
        </w:rPr>
        <w:t xml:space="preserve">PROGRAMA DE DIPLOMADOS DE ALTO RENDIMIENTO</w:t>
      </w:r>
    </w:p>
    <w:p w:rsidR="00000000" w:rsidDel="00000000" w:rsidP="00000000" w:rsidRDefault="00000000" w:rsidRPr="00000000" w14:paraId="00000004">
      <w:pPr>
        <w:jc w:val="center"/>
        <w:rPr>
          <w:rFonts w:ascii="Arial" w:cs="Arial" w:eastAsia="Arial" w:hAnsi="Arial"/>
          <w:b w:val="1"/>
          <w:color w:val="00206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2060"/>
          <w:sz w:val="24"/>
          <w:szCs w:val="24"/>
          <w:rtl w:val="0"/>
        </w:rPr>
        <w:t xml:space="preserve">Guion instruccional para el desarrollo del diplomado</w:t>
      </w:r>
    </w:p>
    <w:p w:rsidR="00000000" w:rsidDel="00000000" w:rsidP="00000000" w:rsidRDefault="00000000" w:rsidRPr="00000000" w14:paraId="00000005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4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462"/>
        <w:tblGridChange w:id="0">
          <w:tblGrid>
            <w:gridCol w:w="1980"/>
            <w:gridCol w:w="8462"/>
          </w:tblGrid>
        </w:tblGridChange>
      </w:tblGrid>
      <w:tr>
        <w:trPr>
          <w:cantSplit w:val="0"/>
          <w:trHeight w:val="651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2f5496" w:val="clear"/>
          </w:tcPr>
          <w:p w:rsidR="00000000" w:rsidDel="00000000" w:rsidP="00000000" w:rsidRDefault="00000000" w:rsidRPr="00000000" w14:paraId="00000006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Nombre del diplomado</w:t>
            </w:r>
          </w:p>
          <w:p w:rsidR="00000000" w:rsidDel="00000000" w:rsidP="00000000" w:rsidRDefault="00000000" w:rsidRPr="00000000" w14:paraId="00000008">
            <w:pPr>
              <w:spacing w:after="160" w:line="259" w:lineRule="auto"/>
              <w:rPr>
                <w:rFonts w:ascii="Arial" w:cs="Arial" w:eastAsia="Arial" w:hAnsi="Arial"/>
                <w:b w:val="0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  <w:color w:val="800000"/>
              </w:rPr>
            </w:pPr>
            <w:r w:rsidDel="00000000" w:rsidR="00000000" w:rsidRPr="00000000">
              <w:rPr>
                <w:rFonts w:ascii="Arial" w:cs="Arial" w:eastAsia="Arial" w:hAnsi="Arial"/>
                <w:color w:val="800000"/>
                <w:u w:val="single"/>
                <w:rtl w:val="0"/>
              </w:rPr>
              <w:t xml:space="preserve">Diplomado de Alto Rendimiento en Enfermería Oncológica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color w:val="80000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980"/>
        <w:gridCol w:w="8505"/>
        <w:tblGridChange w:id="0">
          <w:tblGrid>
            <w:gridCol w:w="1980"/>
            <w:gridCol w:w="8505"/>
          </w:tblGrid>
        </w:tblGridChange>
      </w:tblGrid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0B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Nombre de la unidad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ind w:left="70" w:firstLine="0"/>
              <w:jc w:val="both"/>
              <w:rPr>
                <w:rFonts w:ascii="Arial" w:cs="Arial" w:eastAsia="Arial" w:hAnsi="Arial"/>
                <w:b w:val="0"/>
                <w:i w:val="1"/>
                <w:color w:val="80808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Arial" w:cs="Arial" w:eastAsia="Arial" w:hAnsi="Arial"/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jc w:val="center"/>
              <w:rPr>
                <w:rFonts w:ascii="Arial" w:cs="Arial" w:eastAsia="Arial" w:hAnsi="Arial"/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  <w:b w:val="0"/>
                <w:color w:val="ff000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u w:val="single"/>
                <w:rtl w:val="0"/>
              </w:rPr>
              <w:t xml:space="preserve">Sesión 1. Fundamentos de la Enfermería Oncológica y la Atención Paliativa Centrada en la Persona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ind w:left="2127" w:firstLine="0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2">
            <w:pPr>
              <w:spacing w:after="160" w:line="259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Introducción del Bloque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0" w:firstLine="0"/>
              <w:jc w:val="both"/>
              <w:rPr>
                <w:rFonts w:ascii="Arial" w:cs="Arial" w:eastAsia="Arial" w:hAnsi="Arial"/>
                <w:b w:val="1"/>
                <w:color w:val="8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ind w:left="0" w:firstLine="0"/>
              <w:jc w:val="both"/>
              <w:rPr>
                <w:rFonts w:ascii="Arial" w:cs="Arial" w:eastAsia="Arial" w:hAnsi="Arial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ind w:left="7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¡Bienvenida/o a esta primera sesión del Diplomado en Enfermería Oncológica!</w:t>
            </w:r>
          </w:p>
          <w:p w:rsidR="00000000" w:rsidDel="00000000" w:rsidP="00000000" w:rsidRDefault="00000000" w:rsidRPr="00000000" w14:paraId="00000018">
            <w:pPr>
              <w:ind w:left="7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En esta unidad, abordaremos los fundamentos de la enfermería oncológica desde una perspectiva integral y humanizada, reconociendo el papel central que desempeña el personal de enfermería en la atención a personas con enfermedades crónicas avanzadas y cáncer. Exploraremos conceptos clave como el cuidado compasivo, el lazo terapéutico, el control sintomático y la teoría del dolor total, así como herramientas como el instrumento NECPAL 4.0 para la detección de necesidades paliativas.</w:t>
            </w:r>
          </w:p>
          <w:p w:rsidR="00000000" w:rsidDel="00000000" w:rsidP="00000000" w:rsidRDefault="00000000" w:rsidRPr="00000000" w14:paraId="00000019">
            <w:pPr>
              <w:ind w:left="7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Esta sesión sienta las bases para comprender cómo el cuidado enfermero impacta en la calidad de vida de las personas y sus familias, y prepara el terreno para profundizar en sesiones posteriores sobre intervenciones clínicas específicas, comunicación terapéutica y bioética.</w:t>
            </w:r>
          </w:p>
          <w:p w:rsidR="00000000" w:rsidDel="00000000" w:rsidP="00000000" w:rsidRDefault="00000000" w:rsidRPr="00000000" w14:paraId="0000001A">
            <w:pPr>
              <w:ind w:left="70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1B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Objetivo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highlight w:val="white"/>
                <w:u w:val="singl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Analizar el rol fundamental de la enfermería oncológica para mejorar la calidad de vida de personas con cáncer, a través del uso de herramientas clínicas, principios bioéticos y estrategias de cuidado compasivo.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1"/>
              <w:keepLines w:val="1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70c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23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160" w:line="259" w:lineRule="auto"/>
              <w:jc w:val="center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Lecturas y recursos a revisar previo a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70c0"/>
                <w:sz w:val="22"/>
                <w:szCs w:val="22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1"/>
                <w:smallCaps w:val="0"/>
                <w:strike w:val="0"/>
                <w:color w:val="0070c0"/>
                <w:sz w:val="22"/>
                <w:szCs w:val="22"/>
                <w:highlight w:val="white"/>
                <w:u w:val="none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c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240" w:befor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Documento: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NECPAL CCOMS-ICO: Instrumento para identificar personas con necesidades paliativas.</w:t>
              <w:br w:type="textWrapping"/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Enlace:</w:t>
            </w:r>
            <w:hyperlink r:id="rId7">
              <w:r w:rsidDel="00000000" w:rsidR="00000000" w:rsidRPr="00000000">
                <w:rPr>
                  <w:rFonts w:ascii="Arial" w:cs="Arial" w:eastAsia="Arial" w:hAnsi="Arial"/>
                  <w:rtl w:val="0"/>
                </w:rPr>
                <w:t xml:space="preserve"> </w:t>
              </w:r>
            </w:hyperlink>
            <w:hyperlink r:id="rId8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https://paliativos.org/uploads/NECPAL_CCOMS_ICO.pdf</w:t>
                <w:br w:type="textWrapping"/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Descripción: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Documento que presenta el fundamento, criterios clínicos y utilidad del instrumento NECPAL para identificar precozmente necesidades paliativas en personas con enfermedades crónicas avanzadas.</w:t>
            </w:r>
          </w:p>
          <w:p w:rsidR="00000000" w:rsidDel="00000000" w:rsidP="00000000" w:rsidRDefault="00000000" w:rsidRPr="00000000" w14:paraId="00000029">
            <w:pPr>
              <w:spacing w:after="240" w:befor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Documento: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Saunders, C. (2001). The evolution of palliative care.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Patient Education and Counseling, 41(1),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7–13.</w:t>
              <w:br w:type="textWrapping"/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Enlace:</w:t>
            </w:r>
            <w:hyperlink r:id="rId9">
              <w:r w:rsidDel="00000000" w:rsidR="00000000" w:rsidRPr="00000000">
                <w:rPr>
                  <w:rFonts w:ascii="Arial" w:cs="Arial" w:eastAsia="Arial" w:hAnsi="Arial"/>
                  <w:rtl w:val="0"/>
                </w:rPr>
                <w:t xml:space="preserve"> </w:t>
              </w:r>
            </w:hyperlink>
            <w:hyperlink r:id="rId10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https://doi.org/10.1016/S0738-3991(00)00130-8</w:t>
                <w:br w:type="textWrapping"/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Descripción: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Revisión histórica y conceptual de la evolución de los cuidados paliativos centrados en la persona.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2B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Videos temáticos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Arial" w:cs="Arial" w:eastAsia="Arial" w:hAnsi="Arial"/>
                <w:b w:val="1"/>
                <w:color w:val="c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240" w:before="240" w:line="259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Título: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¿Qué es el Dolor Total? – Explicación desde la Teoría de Cicely Saunders</w:t>
              <w:br w:type="textWrapping"/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Enlace:</w:t>
            </w:r>
            <w:hyperlink r:id="rId11">
              <w:r w:rsidDel="00000000" w:rsidR="00000000" w:rsidRPr="00000000">
                <w:rPr>
                  <w:rFonts w:ascii="Arial" w:cs="Arial" w:eastAsia="Arial" w:hAnsi="Arial"/>
                  <w:rtl w:val="0"/>
                </w:rPr>
                <w:t xml:space="preserve"> </w:t>
              </w:r>
            </w:hyperlink>
            <w:hyperlink r:id="rId12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https://www.youtube.com/watch?v=2kL1WqDF9to</w:t>
                <w:br w:type="textWrapping"/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Justificación: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Explica de forma clara y con ejemplos reales el concepto de dolor total como sufrimiento multidimensional.</w:t>
            </w:r>
          </w:p>
          <w:p w:rsidR="00000000" w:rsidDel="00000000" w:rsidP="00000000" w:rsidRDefault="00000000" w:rsidRPr="00000000" w14:paraId="00000031">
            <w:pPr>
              <w:spacing w:after="240" w:before="240" w:line="259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Título: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NECPAL 4.0 – Herramienta para la detección de necesidades paliativas</w:t>
              <w:br w:type="textWrapping"/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Enlace:</w:t>
            </w:r>
            <w:hyperlink r:id="rId13">
              <w:r w:rsidDel="00000000" w:rsidR="00000000" w:rsidRPr="00000000">
                <w:rPr>
                  <w:rFonts w:ascii="Arial" w:cs="Arial" w:eastAsia="Arial" w:hAnsi="Arial"/>
                  <w:rtl w:val="0"/>
                </w:rPr>
                <w:t xml:space="preserve"> </w:t>
              </w:r>
            </w:hyperlink>
            <w:hyperlink r:id="rId14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https://www.youtube.com/watch?v=Av1BSZoPM54</w:t>
                <w:br w:type="textWrapping"/>
              </w:r>
            </w:hyperlink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Justificación: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Muestra el funcionamiento del instrumento NECPAL, sus criterios y utilidad práctica en el primer nivel de atención.</w:t>
            </w:r>
          </w:p>
          <w:p w:rsidR="00000000" w:rsidDel="00000000" w:rsidP="00000000" w:rsidRDefault="00000000" w:rsidRPr="00000000" w14:paraId="00000032">
            <w:pPr>
              <w:spacing w:after="160" w:line="259" w:lineRule="auto"/>
              <w:jc w:val="both"/>
              <w:rPr>
                <w:rFonts w:ascii="Arial" w:cs="Arial" w:eastAsia="Arial" w:hAnsi="Arial"/>
                <w:b w:val="1"/>
                <w:color w:val="c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33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Bibliografía complementaria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Centeno, C., et al. (2021).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Instrumento NECPAL 4.0 para identificar personas con necesidades paliativas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 Instituto Catalán de Oncología.</w:t>
            </w:r>
          </w:p>
          <w:p w:rsidR="00000000" w:rsidDel="00000000" w:rsidP="00000000" w:rsidRDefault="00000000" w:rsidRPr="00000000" w14:paraId="00000038">
            <w:pPr>
              <w:spacing w:after="240" w:before="240" w:lineRule="auto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Knaul, F. M., Arreola-Ornelas, H., &amp; Touchton-Leonard, K. (2012). Disparities in cancer care: The global economic challenge.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The Lancet, 378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(9801), 1635-1637.</w:t>
            </w:r>
          </w:p>
          <w:p w:rsidR="00000000" w:rsidDel="00000000" w:rsidP="00000000" w:rsidRDefault="00000000" w:rsidRPr="00000000" w14:paraId="00000039">
            <w:pPr>
              <w:spacing w:after="240" w:before="240" w:lineRule="auto"/>
              <w:jc w:val="both"/>
              <w:rPr>
                <w:rFonts w:ascii="Arial" w:cs="Arial" w:eastAsia="Arial" w:hAnsi="Arial"/>
                <w:color w:val="1155cc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Organización Mundial de la Salud. (2020).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Cuidados paliativos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.</w:t>
            </w:r>
            <w:hyperlink r:id="rId15">
              <w:r w:rsidDel="00000000" w:rsidR="00000000" w:rsidRPr="00000000">
                <w:rPr>
                  <w:rFonts w:ascii="Arial" w:cs="Arial" w:eastAsia="Arial" w:hAnsi="Arial"/>
                  <w:rtl w:val="0"/>
                </w:rPr>
                <w:t xml:space="preserve"> </w:t>
              </w:r>
            </w:hyperlink>
            <w:hyperlink r:id="rId16">
              <w:r w:rsidDel="00000000" w:rsidR="00000000" w:rsidRPr="00000000">
                <w:rPr>
                  <w:rFonts w:ascii="Arial" w:cs="Arial" w:eastAsia="Arial" w:hAnsi="Arial"/>
                  <w:color w:val="1155cc"/>
                  <w:u w:val="single"/>
                  <w:rtl w:val="0"/>
                </w:rPr>
                <w:t xml:space="preserve">https://www.who.int/es/news-room/fact-sheets/detail/palliative-care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jc w:val="both"/>
              <w:rPr>
                <w:rFonts w:ascii="Arial" w:cs="Arial" w:eastAsia="Arial" w:hAnsi="Arial"/>
                <w:b w:val="1"/>
                <w:color w:val="c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3B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160" w:line="259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Actividad de integración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Quattrocento Sans" w:cs="Quattrocento Sans" w:eastAsia="Quattrocento Sans" w:hAnsi="Quattrocento Sans"/>
                <w:color w:val="0070c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pStyle w:val="Heading4"/>
              <w:keepNext w:val="0"/>
              <w:keepLines w:val="0"/>
              <w:spacing w:line="259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bookmarkStart w:colFirst="0" w:colLast="0" w:name="_heading=h.v9uwjpl1sun6" w:id="0"/>
            <w:bookmarkEnd w:id="0"/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🕒 1. Inicio</w:t>
            </w:r>
          </w:p>
          <w:p w:rsidR="00000000" w:rsidDel="00000000" w:rsidP="00000000" w:rsidRDefault="00000000" w:rsidRPr="00000000" w14:paraId="00000046">
            <w:pPr>
              <w:spacing w:after="240" w:before="240" w:line="259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Propósito: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Activar conocimientos previos sobre el papel de enfermería en oncología.</w:t>
              <w:br w:type="textWrapping"/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Acción del docente: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2"/>
              </w:numPr>
              <w:spacing w:after="0" w:afterAutospacing="0" w:before="240" w:line="259" w:lineRule="auto"/>
              <w:ind w:left="72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Presentar una historia clínica breve de un caso real.</w:t>
              <w:br w:type="textWrapping"/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2"/>
              </w:numPr>
              <w:spacing w:after="0" w:afterAutospacing="0" w:before="0" w:beforeAutospacing="0" w:line="259" w:lineRule="auto"/>
              <w:ind w:left="72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Formular la pregunta detonadora: “¿Qué impacto puede tener la enfermería en la vivencia de la enfermedad oncológica?”</w:t>
              <w:br w:type="textWrapping"/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2"/>
              </w:numPr>
              <w:spacing w:after="240" w:before="0" w:beforeAutospacing="0" w:line="259" w:lineRule="auto"/>
              <w:ind w:left="72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Uso de Padlet para que estudiantes publiquen ideas iniciales.</w:t>
              <w:br w:type="textWrapping"/>
            </w:r>
          </w:p>
          <w:p w:rsidR="00000000" w:rsidDel="00000000" w:rsidP="00000000" w:rsidRDefault="00000000" w:rsidRPr="00000000" w14:paraId="0000004A">
            <w:pPr>
              <w:pStyle w:val="Heading4"/>
              <w:keepNext w:val="0"/>
              <w:keepLines w:val="0"/>
              <w:spacing w:line="259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bookmarkStart w:colFirst="0" w:colLast="0" w:name="_heading=h.pbp0572mywh4" w:id="1"/>
            <w:bookmarkEnd w:id="1"/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🧠 2. Desarrollo</w:t>
            </w:r>
          </w:p>
          <w:p w:rsidR="00000000" w:rsidDel="00000000" w:rsidP="00000000" w:rsidRDefault="00000000" w:rsidRPr="00000000" w14:paraId="0000004B">
            <w:pPr>
              <w:spacing w:after="240" w:before="240" w:line="259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Propósito: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Analizar el rol de la enfermería y aplicar el NECPAL 4.0 en un caso clínico.</w:t>
              <w:br w:type="textWrapping"/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Acción del docente y estudiantes: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4"/>
              </w:numPr>
              <w:spacing w:after="0" w:afterAutospacing="0" w:before="240" w:line="259" w:lineRule="auto"/>
              <w:ind w:left="72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Dividir al grupo en equipos para trabajar en Genially o Canva una infografía sobre el abordaje integral del caso clínico (control sintomático, lazo terapéutico, dolor total).</w:t>
              <w:br w:type="textWrapping"/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4"/>
              </w:numPr>
              <w:spacing w:after="0" w:afterAutospacing="0" w:before="0" w:beforeAutospacing="0" w:line="259" w:lineRule="auto"/>
              <w:ind w:left="72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Aplicar el instrumento NECPAL y justificar el estadio pronóstico.</w:t>
              <w:br w:type="textWrapping"/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4"/>
              </w:numPr>
              <w:spacing w:after="240" w:before="0" w:beforeAutospacing="0" w:line="259" w:lineRule="auto"/>
              <w:ind w:left="720" w:hanging="36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Docente brinda retroalimentación durante el proceso.</w:t>
              <w:br w:type="textWrapping"/>
            </w:r>
          </w:p>
          <w:p w:rsidR="00000000" w:rsidDel="00000000" w:rsidP="00000000" w:rsidRDefault="00000000" w:rsidRPr="00000000" w14:paraId="0000004F">
            <w:pPr>
              <w:pStyle w:val="Heading4"/>
              <w:keepNext w:val="0"/>
              <w:keepLines w:val="0"/>
              <w:spacing w:line="259" w:lineRule="auto"/>
              <w:ind w:left="720" w:hanging="360"/>
              <w:rPr>
                <w:rFonts w:ascii="Arial" w:cs="Arial" w:eastAsia="Arial" w:hAnsi="Arial"/>
                <w:sz w:val="22"/>
                <w:szCs w:val="22"/>
              </w:rPr>
            </w:pPr>
            <w:bookmarkStart w:colFirst="0" w:colLast="0" w:name="_heading=h.z18e998j5yfz" w:id="2"/>
            <w:bookmarkEnd w:id="2"/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💬 3. Cierre o Conclusión</w:t>
            </w:r>
          </w:p>
          <w:p w:rsidR="00000000" w:rsidDel="00000000" w:rsidP="00000000" w:rsidRDefault="00000000" w:rsidRPr="00000000" w14:paraId="00000050">
            <w:pPr>
              <w:spacing w:after="240" w:before="240" w:line="259" w:lineRule="auto"/>
              <w:rPr>
                <w:rFonts w:ascii="Quattrocento Sans" w:cs="Quattrocento Sans" w:eastAsia="Quattrocento Sans" w:hAnsi="Quattrocento Sans"/>
                <w:color w:val="0070c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Propósito: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Compartir reflexiones sobre el sufrimiento total y el cuidado compasivo.</w:t>
              <w:br w:type="textWrapping"/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Acción del estudiante: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Exponer el producto realizado (infografía).</w:t>
              <w:br w:type="textWrapping"/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Acción del docente: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Facilitar una lluvia de ideas sobre los aprendizajes clave y establecer conexión con la siguiente sesión sobre comunicación terapéutica.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color w:val="0070c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52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spacing w:after="160" w:line="259" w:lineRule="auto"/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after="160" w:line="259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Evaluación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8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800000"/>
                <w:rtl w:val="0"/>
              </w:rPr>
              <w:t xml:space="preserve">https://docs.google.com/document/d/1QxSY6SmzXYolHkFDzgJGNnrSy0eCL6EX/edit?usp=drive_link&amp;ouid=111840670778893044024&amp;rtpof=true&amp;sd=true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5C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Foro de discusión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D">
            <w:pPr>
              <w:spacing w:after="240" w:befor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Foro: Cuidado compasivo y ética en oncología</w:t>
              <w:br w:type="textWrapping"/>
              <w:t xml:space="preserve"> Objetivo: Reflexionar sobre la aplicación del lazo terapéutico y los principios bioéticos en el cuidado oncológico.</w:t>
              <w:br w:type="textWrapping"/>
              <w:t xml:space="preserve"> Instrucciones:</w:t>
            </w:r>
          </w:p>
          <w:p w:rsidR="00000000" w:rsidDel="00000000" w:rsidP="00000000" w:rsidRDefault="00000000" w:rsidRPr="00000000" w14:paraId="0000006E">
            <w:pPr>
              <w:spacing w:after="240" w:before="240" w:lineRule="auto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Con base en los recursos revisados, responde:</w:t>
            </w:r>
          </w:p>
          <w:p w:rsidR="00000000" w:rsidDel="00000000" w:rsidP="00000000" w:rsidRDefault="00000000" w:rsidRPr="00000000" w14:paraId="0000006F">
            <w:pPr>
              <w:numPr>
                <w:ilvl w:val="0"/>
                <w:numId w:val="1"/>
              </w:numPr>
              <w:spacing w:after="0" w:afterAutospacing="0" w:before="240" w:lineRule="auto"/>
              <w:ind w:left="720" w:hanging="36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¿Cómo se expresa el sufrimiento total en una persona con cáncer avanzado?</w:t>
              <w:br w:type="textWrapping"/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1"/>
              </w:numPr>
              <w:spacing w:after="0" w:afterAutospacing="0" w:before="0" w:beforeAutospacing="0" w:lineRule="auto"/>
              <w:ind w:left="720" w:hanging="36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¿Qué retos enfrentas o percibes para construir un lazo terapéutico en tu práctica profesional?</w:t>
              <w:br w:type="textWrapping"/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3"/>
              </w:numPr>
              <w:spacing w:after="0" w:afterAutospacing="0" w:before="0" w:beforeAutospacing="0" w:lineRule="auto"/>
              <w:ind w:left="720" w:hanging="36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Participa con una extensión mínima de 5 renglones y máxima de 15 líneas por pregunta.</w:t>
              <w:br w:type="textWrapping"/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3"/>
              </w:numPr>
              <w:spacing w:after="0" w:afterAutospacing="0" w:before="0" w:beforeAutospacing="0" w:lineRule="auto"/>
              <w:ind w:left="720" w:hanging="36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Comenta al menos dos participaciones de compañeros.</w:t>
              <w:br w:type="textWrapping"/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3"/>
              </w:numPr>
              <w:spacing w:after="240" w:before="0" w:beforeAutospacing="0" w:lineRule="auto"/>
              <w:ind w:left="720" w:hanging="36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Usa argumentos sólidos, respeta opiniones distintas y cita fuentes en formato APA.</w:t>
            </w:r>
          </w:p>
          <w:p w:rsidR="00000000" w:rsidDel="00000000" w:rsidP="00000000" w:rsidRDefault="00000000" w:rsidRPr="00000000" w14:paraId="000000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720" w:firstLine="0"/>
              <w:rPr>
                <w:rFonts w:ascii="Arial" w:cs="Arial" w:eastAsia="Arial" w:hAnsi="Arial"/>
                <w:b w:val="1"/>
                <w:color w:val="c0000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</w:tcBorders>
            <w:shd w:fill="2f5496" w:val="clear"/>
          </w:tcPr>
          <w:p w:rsidR="00000000" w:rsidDel="00000000" w:rsidP="00000000" w:rsidRDefault="00000000" w:rsidRPr="00000000" w14:paraId="00000075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rPr>
                <w:rFonts w:ascii="Arial" w:cs="Arial" w:eastAsia="Arial" w:hAnsi="Arial"/>
                <w:b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Conclusiones de la sesión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8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fffff" w:val="clear"/>
              <w:spacing w:after="120" w:before="120" w:lineRule="auto"/>
              <w:jc w:val="both"/>
              <w:rPr>
                <w:rFonts w:ascii="Arial" w:cs="Arial" w:eastAsia="Arial" w:hAnsi="Arial"/>
                <w:color w:val="0d0d0d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d0d0d"/>
                <w:sz w:val="24"/>
                <w:szCs w:val="24"/>
                <w:rtl w:val="0"/>
              </w:rPr>
              <w:t xml:space="preserve">En esta sesión exploramos los fundamentos de la enfermería oncológica desde una perspectiva integral y humanista. Reconocimos la importancia del cuidado compasivo, el control sintomático individualizado, la teoría del dolor total y el valor del lazo terapéutico como intervención clínica. Reflexionamos sobre los principios bioéticos que orientan la atención y conocimos el instrumento NECPAL como una herramienta clave para detectar necesidades paliativas de manera oportuna.</w:t>
              <w:br w:type="textWrapping"/>
              <w:t xml:space="preserve">¡Gracias por tu participación activa! En la siguiente unidad profundizaremos en las habilidades de comunicación terapéutica como base del acompañamiento en la experiencia del cáncer.</w:t>
            </w:r>
          </w:p>
          <w:p w:rsidR="00000000" w:rsidDel="00000000" w:rsidP="00000000" w:rsidRDefault="00000000" w:rsidRPr="00000000" w14:paraId="0000007D">
            <w:pPr>
              <w:jc w:val="both"/>
              <w:rPr>
                <w:rFonts w:ascii="Arial" w:cs="Arial" w:eastAsia="Arial" w:hAnsi="Arial"/>
                <w:b w:val="1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color w:val="8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F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footerReference r:id="rId17" w:type="default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1"/>
        <w:strike w:val="0"/>
        <w:color w:val="4472c4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1"/>
        <w:strike w:val="0"/>
        <w:color w:val="4472c4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spacing w:after="0" w:line="240" w:lineRule="auto"/>
      <w:jc w:val="center"/>
    </w:pPr>
    <w:rPr>
      <w:rFonts w:ascii="Roboto" w:cs="Roboto" w:eastAsia="Roboto" w:hAnsi="Roboto"/>
      <w:color w:val="ffffff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472c4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 w:val="1"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 w:val="1"/>
    <w:uiPriority w:val="99"/>
    <w:semiHidden w:val="1"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aconcuadrcula4-nfasis51" w:customStyle="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color="9cc2e5" w:space="0" w:sz="4" w:themeColor="accent5" w:themeTint="000099" w:val="single"/>
        <w:left w:color="9cc2e5" w:space="0" w:sz="4" w:themeColor="accent5" w:themeTint="000099" w:val="single"/>
        <w:bottom w:color="9cc2e5" w:space="0" w:sz="4" w:themeColor="accent5" w:themeTint="000099" w:val="single"/>
        <w:right w:color="9cc2e5" w:space="0" w:sz="4" w:themeColor="accent5" w:themeTint="000099" w:val="single"/>
        <w:insideH w:color="9cc2e5" w:space="0" w:sz="4" w:themeColor="accent5" w:themeTint="000099" w:val="single"/>
        <w:insideV w:color="9cc2e5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5b9bd5" w:space="0" w:sz="4" w:themeColor="accent5" w:val="single"/>
          <w:left w:color="5b9bd5" w:space="0" w:sz="4" w:themeColor="accent5" w:val="single"/>
          <w:bottom w:color="5b9bd5" w:space="0" w:sz="4" w:themeColor="accent5" w:val="single"/>
          <w:right w:color="5b9bd5" w:space="0" w:sz="4" w:themeColor="accent5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lastRow">
      <w:rPr>
        <w:b w:val="1"/>
        <w:bCs w:val="1"/>
      </w:rPr>
      <w:tblPr/>
      <w:tcPr>
        <w:tcBorders>
          <w:top w:color="5b9bd5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eeaf6" w:themeFill="accent5" w:themeFillTint="000033" w:val="clear"/>
      </w:tcPr>
    </w:tblStylePr>
    <w:tblStylePr w:type="band1Horz">
      <w:tblPr/>
      <w:tcPr>
        <w:shd w:color="auto" w:fill="deeaf6" w:themeFill="accent5" w:themeFillTint="000033" w:val="clear"/>
      </w:tcPr>
    </w:tblStylePr>
  </w:style>
  <w:style w:type="table" w:styleId="Tablaconcuadrcula5oscura-nfasis11" w:customStyle="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9e2f3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72c4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72c4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4472c4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4472c4" w:themeFill="accent1" w:val="clear"/>
      </w:tcPr>
    </w:tblStylePr>
    <w:tblStylePr w:type="band1Vert">
      <w:tblPr/>
      <w:tcPr>
        <w:shd w:color="auto" w:fill="b4c6e7" w:themeFill="accent1" w:themeFillTint="000066" w:val="clear"/>
      </w:tcPr>
    </w:tblStylePr>
    <w:tblStylePr w:type="band1Horz">
      <w:tblPr/>
      <w:tcPr>
        <w:shd w:color="auto" w:fill="b4c6e7" w:themeFill="accent1" w:themeFillTint="000066" w:val="clear"/>
      </w:tcPr>
    </w:tblStylePr>
  </w:style>
  <w:style w:type="table" w:styleId="Tablaconcuadrcula5oscura-nfasis51" w:customStyle="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eeaf6" w:themeFill="accent5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5b9bd5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5b9bd5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5b9bd5" w:themeFill="accent5" w:val="clear"/>
      </w:tcPr>
    </w:tblStylePr>
    <w:tblStylePr w:type="band1Vert">
      <w:tblPr/>
      <w:tcPr>
        <w:shd w:color="auto" w:fill="bdd6ee" w:themeFill="accent5" w:themeFillTint="000066" w:val="clear"/>
      </w:tcPr>
    </w:tblStylePr>
    <w:tblStylePr w:type="band1Horz">
      <w:tblPr/>
      <w:tcPr>
        <w:shd w:color="auto" w:fill="bdd6ee" w:themeFill="accent5" w:themeFillTint="000066" w:val="clear"/>
      </w:tcPr>
    </w:tblStylePr>
  </w:style>
  <w:style w:type="paragraph" w:styleId="NormalWeb">
    <w:name w:val="Normal (Web)"/>
    <w:basedOn w:val="Normal"/>
    <w:uiPriority w:val="99"/>
    <w:unhideWhenUsed w:val="1"/>
    <w:rsid w:val="00EF3896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 w:val="1"/>
    <w:rsid w:val="009E2580"/>
    <w:pPr>
      <w:ind w:left="720"/>
      <w:contextualSpacing w:val="1"/>
    </w:pPr>
  </w:style>
  <w:style w:type="character" w:styleId="Hipervnculo">
    <w:name w:val="Hyperlink"/>
    <w:basedOn w:val="Fuentedeprrafopredeter"/>
    <w:uiPriority w:val="99"/>
    <w:unhideWhenUsed w:val="1"/>
    <w:rsid w:val="008D30E3"/>
    <w:rPr>
      <w:color w:val="0563c1" w:themeColor="hyperlink"/>
      <w:u w:val="single"/>
    </w:rPr>
  </w:style>
  <w:style w:type="character" w:styleId="Mencinsinresolver1" w:customStyle="1">
    <w:name w:val="Mención sin resolver1"/>
    <w:basedOn w:val="Fuentedeprrafopredeter"/>
    <w:uiPriority w:val="99"/>
    <w:semiHidden w:val="1"/>
    <w:unhideWhenUsed w:val="1"/>
    <w:rsid w:val="008D30E3"/>
    <w:rPr>
      <w:color w:val="605e5c"/>
      <w:shd w:color="auto" w:fill="e1dfdd" w:val="clear"/>
    </w:rPr>
  </w:style>
  <w:style w:type="character" w:styleId="apple-tab-span" w:customStyle="1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10600B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10600B"/>
    <w:rPr>
      <w:rFonts w:ascii="Segoe UI" w:cs="Segoe UI" w:hAnsi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 w:val="1"/>
    <w:rsid w:val="00811C4F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 w:val="1"/>
    <w:unhideWhenUsed w:val="1"/>
    <w:rsid w:val="00811C4F"/>
    <w:rPr>
      <w:b w:val="1"/>
      <w:bCs w:val="1"/>
    </w:rPr>
  </w:style>
  <w:style w:type="character" w:styleId="AsuntodelcomentarioCar" w:customStyle="1">
    <w:name w:val="Asunto del comentario Car"/>
    <w:basedOn w:val="TextocomentarioCar"/>
    <w:link w:val="Asuntodelcomentario"/>
    <w:uiPriority w:val="99"/>
    <w:semiHidden w:val="1"/>
    <w:rsid w:val="00811C4F"/>
    <w:rPr>
      <w:b w:val="1"/>
      <w:bCs w:val="1"/>
      <w:sz w:val="20"/>
      <w:szCs w:val="20"/>
    </w:rPr>
  </w:style>
  <w:style w:type="character" w:styleId="Mencinsinresolver2" w:customStyle="1">
    <w:name w:val="Mención sin resolver2"/>
    <w:basedOn w:val="Fuentedeprrafopredeter"/>
    <w:uiPriority w:val="99"/>
    <w:semiHidden w:val="1"/>
    <w:unhideWhenUsed w:val="1"/>
    <w:rsid w:val="009405E0"/>
    <w:rPr>
      <w:color w:val="605e5c"/>
      <w:shd w:color="auto" w:fill="e1dfdd" w:val="clear"/>
    </w:rPr>
  </w:style>
  <w:style w:type="character" w:styleId="Ttulo1Car" w:customStyle="1">
    <w:name w:val="Título 1 Car"/>
    <w:basedOn w:val="Fuentedeprrafopredeter"/>
    <w:link w:val="Ttulo1"/>
    <w:rsid w:val="000211A8"/>
    <w:rPr>
      <w:rFonts w:ascii="Roboto" w:cs="Roboto" w:eastAsia="Roboto" w:hAnsi="Roboto"/>
      <w:color w:val="ffffff"/>
      <w:sz w:val="24"/>
      <w:szCs w:val="24"/>
      <w:lang w:eastAsia="es-MX" w:val="es-ES_tradnl"/>
    </w:rPr>
  </w:style>
  <w:style w:type="paragraph" w:styleId="Standard" w:customStyle="1">
    <w:name w:val="Standard"/>
    <w:rsid w:val="00BE0067"/>
    <w:pPr>
      <w:suppressAutoHyphens w:val="1"/>
      <w:autoSpaceDN w:val="0"/>
      <w:spacing w:after="0" w:line="240" w:lineRule="auto"/>
      <w:textAlignment w:val="baseline"/>
    </w:pPr>
    <w:rPr>
      <w:rFonts w:ascii="Cambria" w:cs="Cambria" w:eastAsia="Cambria" w:hAnsi="Cambria"/>
      <w:kern w:val="3"/>
      <w:sz w:val="24"/>
      <w:szCs w:val="24"/>
      <w:lang w:eastAsia="es-MX"/>
    </w:rPr>
  </w:style>
  <w:style w:type="character" w:styleId="Ttulo2Car" w:customStyle="1">
    <w:name w:val="Título 2 Car"/>
    <w:basedOn w:val="Fuentedeprrafopredeter"/>
    <w:link w:val="Ttulo2"/>
    <w:uiPriority w:val="9"/>
    <w:semiHidden w:val="1"/>
    <w:rsid w:val="000D06AA"/>
    <w:rPr>
      <w:rFonts w:asciiTheme="majorHAnsi" w:cstheme="majorBidi" w:eastAsiaTheme="majorEastAsia" w:hAnsiTheme="majorHAnsi"/>
      <w:b w:val="1"/>
      <w:bCs w:val="1"/>
      <w:color w:val="4472c4" w:themeColor="accent1"/>
      <w:sz w:val="26"/>
      <w:szCs w:val="26"/>
    </w:rPr>
  </w:style>
  <w:style w:type="paragraph" w:styleId="Sinespaciado">
    <w:name w:val="No Spacing"/>
    <w:uiPriority w:val="1"/>
    <w:qFormat w:val="1"/>
    <w:rsid w:val="006676C4"/>
    <w:pPr>
      <w:spacing w:after="0" w:line="240" w:lineRule="auto"/>
    </w:pPr>
  </w:style>
  <w:style w:type="numbering" w:styleId="WWNum12" w:customStyle="1">
    <w:name w:val="WWNum12"/>
    <w:basedOn w:val="Sinlista"/>
    <w:rsid w:val="003B327B"/>
    <w:pPr>
      <w:numPr>
        <w:numId w:val="6"/>
      </w:numPr>
    </w:pPr>
  </w:style>
  <w:style w:type="numbering" w:styleId="WWNum18" w:customStyle="1">
    <w:name w:val="WWNum18"/>
    <w:basedOn w:val="Sinlista"/>
    <w:rsid w:val="003B327B"/>
    <w:pPr>
      <w:numPr>
        <w:numId w:val="7"/>
      </w:numPr>
    </w:pPr>
  </w:style>
  <w:style w:type="numbering" w:styleId="WWNum21" w:customStyle="1">
    <w:name w:val="WWNum21"/>
    <w:basedOn w:val="Sinlista"/>
    <w:rsid w:val="003B327B"/>
    <w:pPr>
      <w:numPr>
        <w:numId w:val="8"/>
      </w:numPr>
    </w:pPr>
  </w:style>
  <w:style w:type="character" w:styleId="tl8wme" w:customStyle="1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 w:val="1"/>
    <w:unhideWhenUsed w:val="1"/>
    <w:rsid w:val="009353F6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9e2f3" w:val="clear"/>
    </w:tcPr>
    <w:tblStylePr w:type="band1Horz">
      <w:tcPr>
        <w:shd w:fill="b4c6e7" w:val="clear"/>
      </w:tcPr>
    </w:tblStylePr>
    <w:tblStylePr w:type="band1Vert">
      <w:tcPr>
        <w:shd w:fill="b4c6e7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4472c4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4472c4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deebf6" w:val="clear"/>
    </w:tcPr>
    <w:tblStylePr w:type="band1Horz">
      <w:tcPr>
        <w:shd w:fill="bdd7ee" w:val="clear"/>
      </w:tcPr>
    </w:tblStylePr>
    <w:tblStylePr w:type="band1Vert">
      <w:tcPr>
        <w:shd w:fill="bdd7ee" w:val="clear"/>
      </w:tcPr>
    </w:tblStylePr>
    <w:tblStylePr w:type="firstCol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bottom w:color="ffffff" w:space="0" w:sz="4" w:val="single"/>
          <w:insideV w:color="000000" w:space="0" w:sz="0" w:val="nil"/>
        </w:tcBorders>
        <w:shd w:fill="5b9bd5" w:val="clear"/>
      </w:tcPr>
    </w:tblStylePr>
    <w:tblStylePr w:type="firstRow">
      <w:rPr>
        <w:b w:val="1"/>
        <w:color w:val="ffffff"/>
      </w:rPr>
      <w:tcPr>
        <w:tcBorders>
          <w:top w:color="ffffff" w:space="0" w:sz="4" w:val="single"/>
          <w:left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  <w:color w:val="ffffff"/>
      </w:rPr>
      <w:tcPr>
        <w:tcBorders>
          <w:top w:color="ffffff" w:space="0" w:sz="4" w:val="single"/>
          <w:bottom w:color="ffffff" w:space="0" w:sz="4" w:val="single"/>
          <w:right w:color="ffffff" w:space="0" w:sz="4" w:val="single"/>
          <w:insideV w:color="000000" w:space="0" w:sz="0" w:val="nil"/>
        </w:tcBorders>
        <w:shd w:fill="5b9bd5" w:val="clear"/>
      </w:tcPr>
    </w:tblStylePr>
    <w:tblStylePr w:type="lastRow">
      <w:rPr>
        <w:b w:val="1"/>
        <w:color w:val="ffffff"/>
      </w:rPr>
      <w:tcPr>
        <w:tcBorders>
          <w:left w:color="ffffff" w:space="0" w:sz="4" w:val="single"/>
          <w:bottom w:color="ffffff" w:space="0" w:sz="4" w:val="single"/>
          <w:right w:color="ffffff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www.youtube.com/watch?v=2kL1WqDF9to" TargetMode="External"/><Relationship Id="rId10" Type="http://schemas.openxmlformats.org/officeDocument/2006/relationships/hyperlink" Target="https://doi.org/10.1016/S0738-3991(00)00130-8" TargetMode="External"/><Relationship Id="rId13" Type="http://schemas.openxmlformats.org/officeDocument/2006/relationships/hyperlink" Target="https://www.youtube.com/watch?v=Av1BSZoPM54" TargetMode="External"/><Relationship Id="rId12" Type="http://schemas.openxmlformats.org/officeDocument/2006/relationships/hyperlink" Target="https://www.youtube.com/watch?v=2kL1WqDF9to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i.org/10.1016/S0738-3991(00)00130-8" TargetMode="External"/><Relationship Id="rId15" Type="http://schemas.openxmlformats.org/officeDocument/2006/relationships/hyperlink" Target="https://www.who.int/es/news-room/fact-sheets/detail/palliative-care" TargetMode="External"/><Relationship Id="rId14" Type="http://schemas.openxmlformats.org/officeDocument/2006/relationships/hyperlink" Target="https://www.youtube.com/watch?v=Av1BSZoPM54" TargetMode="External"/><Relationship Id="rId17" Type="http://schemas.openxmlformats.org/officeDocument/2006/relationships/footer" Target="footer1.xml"/><Relationship Id="rId16" Type="http://schemas.openxmlformats.org/officeDocument/2006/relationships/hyperlink" Target="https://www.who.int/es/news-room/fact-sheets/detail/palliative-care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paliativos.org/uploads/NECPAL_CCOMS_ICO.pdf" TargetMode="External"/><Relationship Id="rId8" Type="http://schemas.openxmlformats.org/officeDocument/2006/relationships/hyperlink" Target="https://paliativos.org/uploads/NECPAL_CCOMS_ICO.pdf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AYsWTjwO5Q3B5CpG7o0cdYK/dA==">CgMxLjAyDmgudjl1d2pwbDFzdW42Mg5oLnBicDA1NzJteXdoNDIOaC56MThlOTk4ajV5Zno4AHIhMWZfV0VPYU1VaEN1Q2VQU3lnd09SNW95V0pPYm0xM2ph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2025-05-27T04:46:00Z</dcterms:created>
  <dc:creator>Viviana Toledo Aranda</dc:creator>
</cp:coreProperties>
</file>