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p14">
  <w:body>
    <w:p w:rsidRPr="00BB4E9B" w:rsidR="00C80F00" w:rsidP="59C2EBA6" w:rsidRDefault="00C80F00" w14:paraId="6DB2930B" w14:noSpellErr="1" w14:textId="53162215">
      <w:pPr>
        <w:pStyle w:val="Normal"/>
        <w:spacing w:before="480" w:after="240" w:line="360" w:lineRule="auto"/>
        <w:ind w:left="0" w:right="0" w:firstLine="0"/>
        <w:jc w:val="center"/>
        <w:rPr>
          <w:rFonts w:ascii="Book Antiqua" w:hAnsi="Book Antiqua"/>
        </w:rPr>
      </w:pPr>
      <w:r w:rsidRPr="59C2EBA6" w:rsidR="59C2EBA6">
        <w:rPr>
          <w:rFonts w:ascii="Book Antiqua" w:hAnsi="Book Antiqua"/>
        </w:rPr>
        <w:t xml:space="preserve"> </w:t>
      </w:r>
      <w:r w:rsidRPr="59C2EBA6" w:rsidR="59C2EBA6">
        <w:rPr>
          <w:rFonts w:ascii="Book Antiqua" w:hAnsi="Book Antiqua"/>
          <w:b w:val="1"/>
          <w:bCs w:val="1"/>
          <w:color w:val="2F5496" w:themeColor="accent1" w:themeTint="FF" w:themeShade="BF"/>
        </w:rPr>
        <w:t>PALIACIÓN DE LOS EFECTOS SECUNDARIOS Y DE LA TOXICIDAD DEL TRATAMIENTO ANTINEOPLÁSICO</w:t>
      </w:r>
    </w:p>
    <w:p w:rsidRPr="00BB4E9B" w:rsidR="009938A9" w:rsidP="00084743" w:rsidRDefault="009938A9" w14:paraId="400E6156" w14:textId="25EDF1A7">
      <w:pPr>
        <w:spacing w:before="360" w:after="240"/>
        <w:ind w:left="0" w:right="0" w:firstLine="0"/>
        <w:rPr>
          <w:rFonts w:ascii="Book Antiqua" w:hAnsi="Book Antiqua"/>
        </w:rPr>
      </w:pPr>
      <w:r w:rsidRPr="00BB4E9B">
        <w:rPr>
          <w:rFonts w:ascii="Book Antiqua" w:hAnsi="Book Antiqua"/>
          <w:b/>
          <w:bCs/>
          <w:color w:val="FF0000"/>
        </w:rPr>
        <w:t>1</w:t>
      </w:r>
      <w:r w:rsidRPr="00BB4E9B">
        <w:rPr>
          <w:rFonts w:ascii="Book Antiqua" w:hAnsi="Book Antiqua"/>
          <w:b/>
          <w:bCs/>
        </w:rPr>
        <w:t>.</w:t>
      </w:r>
      <w:r w:rsidRPr="00BB4E9B" w:rsidR="00F84D68">
        <w:rPr>
          <w:rFonts w:ascii="Book Antiqua" w:hAnsi="Book Antiqua"/>
          <w:b/>
          <w:bCs/>
        </w:rPr>
        <w:t xml:space="preserve"> En el apartado sobre extravasación de quimioterapia, señala:</w:t>
      </w:r>
    </w:p>
    <w:p w:rsidRPr="00BB4E9B" w:rsidR="009938A9" w:rsidP="00084743" w:rsidRDefault="009938A9" w14:paraId="02B8E3C2" w14:textId="5471BAB4">
      <w:pPr>
        <w:spacing w:after="0" w:line="360" w:lineRule="auto"/>
        <w:ind w:left="0" w:right="0" w:firstLine="0"/>
        <w:rPr>
          <w:rFonts w:ascii="Book Antiqua" w:hAnsi="Book Antiqua"/>
        </w:rPr>
      </w:pPr>
      <w:r w:rsidRPr="00BB4E9B">
        <w:rPr>
          <w:rFonts w:ascii="Book Antiqua" w:hAnsi="Book Antiqua"/>
        </w:rPr>
        <w:t>a)</w:t>
      </w:r>
      <w:r w:rsidRPr="00BB4E9B" w:rsidR="00A81ED2">
        <w:rPr>
          <w:rFonts w:ascii="Book Antiqua" w:hAnsi="Book Antiqua"/>
        </w:rPr>
        <w:t xml:space="preserve"> En caso de producirse una extravasación, la aguja debe retirarse y se debe comenzar con un tratamiento general y dirigido cuanto antes.</w:t>
      </w:r>
    </w:p>
    <w:p w:rsidRPr="00BB4E9B" w:rsidR="009938A9" w:rsidP="00084743" w:rsidRDefault="009938A9" w14:paraId="0A062FD8" w14:textId="23A7E515">
      <w:pPr>
        <w:spacing w:after="0" w:line="360" w:lineRule="auto"/>
        <w:ind w:left="0" w:right="0" w:firstLine="0"/>
        <w:rPr>
          <w:rFonts w:ascii="Book Antiqua" w:hAnsi="Book Antiqua"/>
        </w:rPr>
      </w:pPr>
      <w:r w:rsidRPr="00BB4E9B">
        <w:rPr>
          <w:rFonts w:ascii="Book Antiqua" w:hAnsi="Book Antiqua"/>
        </w:rPr>
        <w:t>b)</w:t>
      </w:r>
      <w:r w:rsidRPr="00BB4E9B" w:rsidR="00A81ED2">
        <w:rPr>
          <w:rFonts w:ascii="Book Antiqua" w:hAnsi="Book Antiqua"/>
        </w:rPr>
        <w:t xml:space="preserve"> Signos precoces, como enrojecimiento, o síntomas como picor, dolor o hinchazón, deben poner en alerta de una posible extravasación. </w:t>
      </w:r>
    </w:p>
    <w:p w:rsidRPr="00BB4E9B" w:rsidR="009938A9" w:rsidP="244DEC21" w:rsidRDefault="009938A9" w14:paraId="2A6624F3" w14:textId="3C47025E" w14:noSpellErr="1">
      <w:pPr>
        <w:spacing w:after="0" w:line="360" w:lineRule="auto"/>
        <w:ind w:left="0" w:right="0" w:firstLine="0"/>
        <w:rPr>
          <w:rFonts w:ascii="Book Antiqua" w:hAnsi="Book Antiqua"/>
          <w:lang w:val="es-ES"/>
        </w:rPr>
      </w:pPr>
      <w:r w:rsidRPr="244DEC21" w:rsidR="244DEC21">
        <w:rPr>
          <w:rFonts w:ascii="Book Antiqua" w:hAnsi="Book Antiqua"/>
          <w:lang w:val="es-ES"/>
        </w:rPr>
        <w:t>c)</w:t>
      </w:r>
      <w:r w:rsidRPr="244DEC21" w:rsidR="244DEC21">
        <w:rPr>
          <w:rFonts w:ascii="Book Antiqua" w:hAnsi="Book Antiqua"/>
          <w:lang w:val="es-ES"/>
        </w:rPr>
        <w:t xml:space="preserve"> En algunos casos, como las extravasaciones por </w:t>
      </w:r>
      <w:r w:rsidRPr="244DEC21" w:rsidR="244DEC21">
        <w:rPr>
          <w:rFonts w:ascii="Book Antiqua" w:hAnsi="Book Antiqua"/>
          <w:lang w:val="es-ES"/>
        </w:rPr>
        <w:t>adriamicina</w:t>
      </w:r>
      <w:r w:rsidRPr="244DEC21" w:rsidR="244DEC21">
        <w:rPr>
          <w:rFonts w:ascii="Book Antiqua" w:hAnsi="Book Antiqua"/>
          <w:lang w:val="es-ES"/>
        </w:rPr>
        <w:t>, se recomienda la aplicación de calor local para disminuir el riesgo de necrosis.</w:t>
      </w:r>
    </w:p>
    <w:p w:rsidRPr="00BB4E9B" w:rsidR="009938A9" w:rsidP="00084743" w:rsidRDefault="009938A9" w14:paraId="2BA44095" w14:textId="51B8232F">
      <w:pPr>
        <w:spacing w:before="360" w:line="360" w:lineRule="auto"/>
        <w:ind w:left="0" w:right="0" w:firstLine="0"/>
        <w:rPr>
          <w:rFonts w:ascii="Book Antiqua" w:hAnsi="Book Antiqua"/>
          <w:b/>
          <w:bCs/>
        </w:rPr>
      </w:pPr>
      <w:r w:rsidRPr="00BB4E9B">
        <w:rPr>
          <w:rFonts w:ascii="Book Antiqua" w:hAnsi="Book Antiqua"/>
          <w:b/>
          <w:bCs/>
          <w:color w:val="FF0000"/>
        </w:rPr>
        <w:t>2</w:t>
      </w:r>
      <w:r w:rsidRPr="00BB4E9B">
        <w:rPr>
          <w:rFonts w:ascii="Book Antiqua" w:hAnsi="Book Antiqua"/>
          <w:b/>
          <w:bCs/>
        </w:rPr>
        <w:t>.</w:t>
      </w:r>
      <w:r w:rsidRPr="00BB4E9B" w:rsidR="00C00399">
        <w:rPr>
          <w:rFonts w:ascii="Book Antiqua" w:hAnsi="Book Antiqua"/>
          <w:b/>
          <w:bCs/>
        </w:rPr>
        <w:t xml:space="preserve"> En el apartado de la mucositis oral, indica:</w:t>
      </w:r>
    </w:p>
    <w:p w:rsidRPr="00BB4E9B" w:rsidR="009938A9" w:rsidP="00084743" w:rsidRDefault="009938A9" w14:paraId="574E5534" w14:textId="312D402D">
      <w:pPr>
        <w:spacing w:after="0" w:line="360" w:lineRule="auto"/>
        <w:ind w:left="0" w:right="0" w:firstLine="0"/>
        <w:rPr>
          <w:rFonts w:ascii="Book Antiqua" w:hAnsi="Book Antiqua"/>
        </w:rPr>
      </w:pPr>
      <w:r w:rsidRPr="00BB4E9B">
        <w:rPr>
          <w:rFonts w:ascii="Book Antiqua" w:hAnsi="Book Antiqua"/>
        </w:rPr>
        <w:t>a)</w:t>
      </w:r>
      <w:r w:rsidRPr="00BB4E9B" w:rsidR="00C00399">
        <w:t xml:space="preserve"> </w:t>
      </w:r>
      <w:r w:rsidRPr="00BB4E9B" w:rsidR="00C00399">
        <w:rPr>
          <w:rFonts w:ascii="Book Antiqua" w:hAnsi="Book Antiqua"/>
        </w:rPr>
        <w:t>En el paciente oncológico, esta afectación se produce en relación solo a los tratamientos quimioterápicos sistémicos.</w:t>
      </w:r>
    </w:p>
    <w:p w:rsidRPr="00BB4E9B" w:rsidR="009938A9" w:rsidP="244DEC21" w:rsidRDefault="009938A9" w14:paraId="73278F81" w14:textId="7B0C21C7"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lang w:val="es-ES"/>
        </w:rPr>
        <w:t xml:space="preserve"> </w:t>
      </w:r>
      <w:r w:rsidRPr="244DEC21" w:rsidR="244DEC21">
        <w:rPr>
          <w:rFonts w:ascii="Book Antiqua" w:hAnsi="Book Antiqua"/>
          <w:lang w:val="es-ES"/>
        </w:rPr>
        <w:t xml:space="preserve">Dentro de los fármacos considerados como terapias dirigidas, fármacos </w:t>
      </w:r>
      <w:r w:rsidRPr="244DEC21" w:rsidR="244DEC21">
        <w:rPr>
          <w:rFonts w:ascii="Book Antiqua" w:hAnsi="Book Antiqua"/>
          <w:lang w:val="es-ES"/>
        </w:rPr>
        <w:t>multidiana</w:t>
      </w:r>
      <w:r w:rsidRPr="244DEC21" w:rsidR="244DEC21">
        <w:rPr>
          <w:rFonts w:ascii="Book Antiqua" w:hAnsi="Book Antiqua"/>
          <w:lang w:val="es-ES"/>
        </w:rPr>
        <w:t xml:space="preserve">, como sorafenib, </w:t>
      </w:r>
      <w:r w:rsidRPr="244DEC21" w:rsidR="244DEC21">
        <w:rPr>
          <w:rFonts w:ascii="Book Antiqua" w:hAnsi="Book Antiqua"/>
          <w:lang w:val="es-ES"/>
        </w:rPr>
        <w:t>sunitinib</w:t>
      </w:r>
      <w:r w:rsidRPr="244DEC21" w:rsidR="244DEC21">
        <w:rPr>
          <w:rFonts w:ascii="Book Antiqua" w:hAnsi="Book Antiqua"/>
          <w:lang w:val="es-ES"/>
        </w:rPr>
        <w:t xml:space="preserve"> o regorafenib, se asocian a un riesgo importante de incidencia de mucositis. </w:t>
      </w:r>
    </w:p>
    <w:p w:rsidRPr="00BB4E9B" w:rsidR="009938A9" w:rsidP="244DEC21" w:rsidRDefault="009938A9" w14:paraId="4FB947B1" w14:textId="5A8D473B" w14:noSpellErr="1">
      <w:pPr>
        <w:spacing w:after="0" w:line="360" w:lineRule="auto"/>
        <w:ind w:left="0" w:right="0" w:firstLine="0"/>
        <w:rPr>
          <w:rFonts w:ascii="Book Antiqua" w:hAnsi="Book Antiqua"/>
          <w:lang w:val="es-ES"/>
        </w:rPr>
      </w:pPr>
      <w:r w:rsidRPr="244DEC21" w:rsidR="244DEC21">
        <w:rPr>
          <w:rFonts w:ascii="Book Antiqua" w:hAnsi="Book Antiqua"/>
          <w:lang w:val="es-ES"/>
        </w:rPr>
        <w:t>c)</w:t>
      </w:r>
      <w:r w:rsidRPr="244DEC21" w:rsidR="244DEC21">
        <w:rPr>
          <w:rFonts w:ascii="Book Antiqua" w:hAnsi="Book Antiqua"/>
          <w:lang w:val="es-ES"/>
        </w:rPr>
        <w:t xml:space="preserve"> La familia de inhibidores de </w:t>
      </w:r>
      <w:r w:rsidRPr="244DEC21" w:rsidR="244DEC21">
        <w:rPr>
          <w:rFonts w:ascii="Book Antiqua" w:hAnsi="Book Antiqua"/>
          <w:lang w:val="es-ES"/>
        </w:rPr>
        <w:t>mTOR</w:t>
      </w:r>
      <w:r w:rsidRPr="244DEC21" w:rsidR="244DEC21">
        <w:rPr>
          <w:rFonts w:ascii="Book Antiqua" w:hAnsi="Book Antiqua"/>
          <w:lang w:val="es-ES"/>
        </w:rPr>
        <w:t xml:space="preserve">, tales como </w:t>
      </w:r>
      <w:r w:rsidRPr="244DEC21" w:rsidR="244DEC21">
        <w:rPr>
          <w:rFonts w:ascii="Book Antiqua" w:hAnsi="Book Antiqua"/>
          <w:lang w:val="es-ES"/>
        </w:rPr>
        <w:t>temsirolimus</w:t>
      </w:r>
      <w:r w:rsidRPr="244DEC21" w:rsidR="244DEC21">
        <w:rPr>
          <w:rFonts w:ascii="Book Antiqua" w:hAnsi="Book Antiqua"/>
          <w:lang w:val="es-ES"/>
        </w:rPr>
        <w:t xml:space="preserve"> o </w:t>
      </w:r>
      <w:r w:rsidRPr="244DEC21" w:rsidR="244DEC21">
        <w:rPr>
          <w:rFonts w:ascii="Book Antiqua" w:hAnsi="Book Antiqua"/>
          <w:lang w:val="es-ES"/>
        </w:rPr>
        <w:t>everolimus</w:t>
      </w:r>
      <w:r w:rsidRPr="244DEC21" w:rsidR="244DEC21">
        <w:rPr>
          <w:rFonts w:ascii="Book Antiqua" w:hAnsi="Book Antiqua"/>
          <w:lang w:val="es-ES"/>
        </w:rPr>
        <w:t>, son los únicos incapaces de provocar mucositis.</w:t>
      </w:r>
    </w:p>
    <w:p w:rsidRPr="00BB4E9B" w:rsidR="009938A9" w:rsidP="00084743" w:rsidRDefault="009938A9" w14:paraId="120026A6" w14:textId="284FAA2D">
      <w:pPr>
        <w:spacing w:before="360" w:line="360" w:lineRule="auto"/>
        <w:ind w:left="0" w:right="0" w:firstLine="0"/>
        <w:rPr>
          <w:rFonts w:ascii="Book Antiqua" w:hAnsi="Book Antiqua"/>
          <w:b/>
          <w:bCs/>
        </w:rPr>
      </w:pPr>
      <w:r w:rsidRPr="00BB4E9B">
        <w:rPr>
          <w:rFonts w:ascii="Book Antiqua" w:hAnsi="Book Antiqua"/>
          <w:b/>
          <w:bCs/>
          <w:color w:val="FF0000"/>
        </w:rPr>
        <w:t>3</w:t>
      </w:r>
      <w:r w:rsidRPr="00BB4E9B">
        <w:rPr>
          <w:rFonts w:ascii="Book Antiqua" w:hAnsi="Book Antiqua"/>
          <w:b/>
          <w:bCs/>
        </w:rPr>
        <w:t>.</w:t>
      </w:r>
      <w:r w:rsidRPr="00BB4E9B" w:rsidR="003D158C">
        <w:rPr>
          <w:rFonts w:ascii="Book Antiqua" w:hAnsi="Book Antiqua"/>
          <w:b/>
          <w:bCs/>
        </w:rPr>
        <w:t xml:space="preserve"> También apunta:</w:t>
      </w:r>
    </w:p>
    <w:p w:rsidRPr="00BB4E9B" w:rsidR="009938A9" w:rsidP="00084743" w:rsidRDefault="009938A9" w14:paraId="2AD75D83" w14:textId="1B78D69E">
      <w:pPr>
        <w:spacing w:after="0" w:line="360" w:lineRule="auto"/>
        <w:ind w:left="0" w:right="0" w:firstLine="0"/>
        <w:rPr>
          <w:rFonts w:ascii="Book Antiqua" w:hAnsi="Book Antiqua"/>
        </w:rPr>
      </w:pPr>
      <w:r w:rsidRPr="00BB4E9B">
        <w:rPr>
          <w:rFonts w:ascii="Book Antiqua" w:hAnsi="Book Antiqua"/>
        </w:rPr>
        <w:t>a)</w:t>
      </w:r>
      <w:r w:rsidRPr="00BB4E9B" w:rsidR="003D158C">
        <w:t xml:space="preserve"> </w:t>
      </w:r>
      <w:r w:rsidRPr="00BB4E9B" w:rsidR="003D158C">
        <w:rPr>
          <w:rFonts w:ascii="Book Antiqua" w:hAnsi="Book Antiqua"/>
        </w:rPr>
        <w:t xml:space="preserve">debemos recordar que muchos de estos tratamientos son utilizados en combinaciones, por lo que el riesgo de presentar mucositis se multiplica al administrar dichas asociaciones. </w:t>
      </w:r>
    </w:p>
    <w:p w:rsidRPr="00BB4E9B" w:rsidR="009938A9" w:rsidP="00084743" w:rsidRDefault="009938A9" w14:paraId="232B2EB4" w14:textId="6A4C54C6">
      <w:pPr>
        <w:spacing w:after="0" w:line="360" w:lineRule="auto"/>
        <w:ind w:left="0" w:right="0" w:firstLine="0"/>
        <w:rPr>
          <w:rFonts w:ascii="Book Antiqua" w:hAnsi="Book Antiqua"/>
        </w:rPr>
      </w:pPr>
      <w:r w:rsidRPr="00BB4E9B">
        <w:rPr>
          <w:rFonts w:ascii="Book Antiqua" w:hAnsi="Book Antiqua"/>
        </w:rPr>
        <w:t>b)</w:t>
      </w:r>
      <w:r w:rsidRPr="00BB4E9B" w:rsidR="003D158C">
        <w:t xml:space="preserve"> </w:t>
      </w:r>
      <w:r w:rsidRPr="00BB4E9B" w:rsidR="003D158C">
        <w:rPr>
          <w:rFonts w:ascii="Book Antiqua" w:hAnsi="Book Antiqua"/>
        </w:rPr>
        <w:t>Todas estas fuentes potenciales de mucositis no pueden provocar alteraciones a nivel del ADN celular de manera directa e indirecta.</w:t>
      </w:r>
    </w:p>
    <w:p w:rsidRPr="00BB4E9B" w:rsidR="009938A9" w:rsidP="00084743" w:rsidRDefault="009938A9" w14:paraId="4AAB6723" w14:textId="134C7AA9">
      <w:pPr>
        <w:spacing w:after="240" w:line="360" w:lineRule="auto"/>
        <w:ind w:left="0" w:right="0" w:firstLine="0"/>
        <w:rPr>
          <w:rFonts w:ascii="Book Antiqua" w:hAnsi="Book Antiqua"/>
        </w:rPr>
      </w:pPr>
      <w:r w:rsidRPr="00BB4E9B">
        <w:rPr>
          <w:rFonts w:ascii="Book Antiqua" w:hAnsi="Book Antiqua"/>
        </w:rPr>
        <w:t>c)</w:t>
      </w:r>
      <w:r w:rsidRPr="00BB4E9B" w:rsidR="003D158C">
        <w:rPr>
          <w:rFonts w:ascii="Book Antiqua" w:hAnsi="Book Antiqua"/>
        </w:rPr>
        <w:t xml:space="preserve"> En caso de necesidad de extracción dentaria u otras técnicas odontológicas, se recomienda se hagan después de comenzar el tratamiento oncológico.</w:t>
      </w:r>
    </w:p>
    <w:p w:rsidRPr="00BB4E9B" w:rsidR="009938A9" w:rsidP="00084743" w:rsidRDefault="009938A9" w14:paraId="2CA088F3" w14:textId="0CD2C839">
      <w:pPr>
        <w:spacing w:before="360" w:after="0" w:line="360" w:lineRule="auto"/>
        <w:ind w:left="0" w:right="0" w:firstLine="0"/>
        <w:rPr>
          <w:rFonts w:ascii="Book Antiqua" w:hAnsi="Book Antiqua"/>
          <w:b/>
          <w:bCs/>
        </w:rPr>
      </w:pPr>
      <w:r w:rsidRPr="00BB4E9B">
        <w:rPr>
          <w:rFonts w:ascii="Book Antiqua" w:hAnsi="Book Antiqua"/>
          <w:b/>
          <w:bCs/>
          <w:color w:val="FF0000"/>
        </w:rPr>
        <w:t>4</w:t>
      </w:r>
      <w:r w:rsidRPr="00BB4E9B">
        <w:rPr>
          <w:rFonts w:ascii="Book Antiqua" w:hAnsi="Book Antiqua"/>
          <w:b/>
          <w:bCs/>
        </w:rPr>
        <w:t>.</w:t>
      </w:r>
      <w:r w:rsidRPr="00BB4E9B" w:rsidR="00EC51E4">
        <w:rPr>
          <w:rFonts w:ascii="Book Antiqua" w:hAnsi="Book Antiqua"/>
          <w:b/>
          <w:bCs/>
        </w:rPr>
        <w:t xml:space="preserve"> Igualmente, indica:</w:t>
      </w:r>
    </w:p>
    <w:p w:rsidRPr="00BB4E9B" w:rsidR="009938A9" w:rsidP="00084743" w:rsidRDefault="009938A9" w14:paraId="25B2A6F3" w14:textId="12F405DE">
      <w:pPr>
        <w:spacing w:after="0" w:line="360" w:lineRule="auto"/>
        <w:ind w:left="0" w:right="0" w:firstLine="0"/>
        <w:rPr>
          <w:rFonts w:ascii="Book Antiqua" w:hAnsi="Book Antiqua"/>
        </w:rPr>
      </w:pPr>
      <w:r w:rsidRPr="00BB4E9B">
        <w:rPr>
          <w:rFonts w:ascii="Book Antiqua" w:hAnsi="Book Antiqua"/>
        </w:rPr>
        <w:t>a)</w:t>
      </w:r>
      <w:r w:rsidRPr="00BB4E9B" w:rsidR="00EC51E4">
        <w:rPr>
          <w:rFonts w:ascii="Book Antiqua" w:hAnsi="Book Antiqua"/>
        </w:rPr>
        <w:t xml:space="preserve"> Una vez el cuadro de mucositis aparece, el tratamiento no es puramente sintomático, requiere de muchas más intervenciones.</w:t>
      </w:r>
    </w:p>
    <w:p w:rsidRPr="00BB4E9B" w:rsidR="009938A9" w:rsidP="00084743" w:rsidRDefault="009938A9" w14:paraId="51BB757E" w14:textId="1F3CC5DF">
      <w:pPr>
        <w:spacing w:after="0" w:line="360" w:lineRule="auto"/>
        <w:ind w:left="0" w:right="0" w:firstLine="0"/>
        <w:rPr>
          <w:rFonts w:ascii="Book Antiqua" w:hAnsi="Book Antiqua"/>
        </w:rPr>
      </w:pPr>
      <w:r w:rsidRPr="00BB4E9B">
        <w:rPr>
          <w:rFonts w:ascii="Book Antiqua" w:hAnsi="Book Antiqua"/>
        </w:rPr>
        <w:t>b)</w:t>
      </w:r>
      <w:r w:rsidRPr="00BB4E9B" w:rsidR="00EC51E4">
        <w:rPr>
          <w:rFonts w:ascii="Book Antiqua" w:hAnsi="Book Antiqua"/>
        </w:rPr>
        <w:t xml:space="preserve"> Los enjuagues de morfina que se utilizaban antes ya no resultan beneficiosos en términos de mejoría del dolor en ningún caso.</w:t>
      </w:r>
    </w:p>
    <w:p w:rsidRPr="00BB4E9B" w:rsidR="009938A9" w:rsidP="00084743" w:rsidRDefault="009938A9" w14:paraId="1F974BFA" w14:textId="05CE20AD">
      <w:pPr>
        <w:spacing w:after="240" w:line="360" w:lineRule="auto"/>
        <w:ind w:left="0" w:right="0" w:firstLine="0"/>
        <w:rPr>
          <w:rFonts w:ascii="Book Antiqua" w:hAnsi="Book Antiqua"/>
        </w:rPr>
      </w:pPr>
      <w:r w:rsidRPr="00BB4E9B">
        <w:rPr>
          <w:rFonts w:ascii="Book Antiqua" w:hAnsi="Book Antiqua"/>
        </w:rPr>
        <w:t>c)</w:t>
      </w:r>
      <w:r w:rsidRPr="00BB4E9B" w:rsidR="00EC51E4">
        <w:rPr>
          <w:rFonts w:ascii="Book Antiqua" w:hAnsi="Book Antiqua"/>
        </w:rPr>
        <w:t xml:space="preserve"> El uso de terapia laser de baja dosis parece mostrar eficacia en prevenir la aparición de mucositis en pacientes seleccionados. </w:t>
      </w:r>
    </w:p>
    <w:p w:rsidRPr="00BB4E9B" w:rsidR="009938A9" w:rsidP="00084743" w:rsidRDefault="009938A9" w14:paraId="0A4A6A33" w14:textId="42E943BA">
      <w:pPr>
        <w:spacing w:before="360" w:after="0" w:line="360" w:lineRule="auto"/>
        <w:ind w:left="0" w:right="0" w:firstLine="0"/>
        <w:rPr>
          <w:rFonts w:ascii="Book Antiqua" w:hAnsi="Book Antiqua"/>
          <w:b/>
          <w:bCs/>
        </w:rPr>
      </w:pPr>
      <w:r w:rsidRPr="00BB4E9B">
        <w:rPr>
          <w:rFonts w:ascii="Book Antiqua" w:hAnsi="Book Antiqua"/>
          <w:b/>
          <w:bCs/>
          <w:color w:val="FF0000"/>
        </w:rPr>
        <w:t>5</w:t>
      </w:r>
      <w:r w:rsidRPr="00BB4E9B">
        <w:rPr>
          <w:rFonts w:ascii="Book Antiqua" w:hAnsi="Book Antiqua"/>
          <w:b/>
          <w:bCs/>
        </w:rPr>
        <w:t>.</w:t>
      </w:r>
      <w:r w:rsidRPr="00BB4E9B" w:rsidR="00EC51E4">
        <w:rPr>
          <w:rFonts w:ascii="Book Antiqua" w:hAnsi="Book Antiqua"/>
          <w:b/>
          <w:bCs/>
        </w:rPr>
        <w:t xml:space="preserve"> Acerca de la xerostomía, apunta:</w:t>
      </w:r>
    </w:p>
    <w:p w:rsidRPr="00BB4E9B" w:rsidR="009938A9" w:rsidP="00084743" w:rsidRDefault="009938A9" w14:paraId="63D8D8BA" w14:textId="22E51720">
      <w:pPr>
        <w:spacing w:after="0" w:line="360" w:lineRule="auto"/>
        <w:ind w:left="0" w:right="0" w:firstLine="0"/>
        <w:rPr>
          <w:rFonts w:ascii="Book Antiqua" w:hAnsi="Book Antiqua"/>
        </w:rPr>
      </w:pPr>
      <w:r w:rsidRPr="00BB4E9B">
        <w:rPr>
          <w:rFonts w:ascii="Book Antiqua" w:hAnsi="Book Antiqua"/>
        </w:rPr>
        <w:t>a)</w:t>
      </w:r>
      <w:r w:rsidRPr="00BB4E9B" w:rsidR="00EC51E4">
        <w:rPr>
          <w:rFonts w:ascii="Book Antiqua" w:hAnsi="Book Antiqua"/>
        </w:rPr>
        <w:t xml:space="preserve"> La xerostomía puede aparecer solo en pacientes en tratamiento con radioterapia.</w:t>
      </w:r>
    </w:p>
    <w:p w:rsidRPr="00BB4E9B" w:rsidR="009938A9" w:rsidP="00084743" w:rsidRDefault="009938A9" w14:paraId="10FF4C3D" w14:textId="4E2C6C5D">
      <w:pPr>
        <w:spacing w:after="0" w:line="360" w:lineRule="auto"/>
        <w:ind w:left="0" w:right="0" w:firstLine="0"/>
        <w:rPr>
          <w:rFonts w:ascii="Book Antiqua" w:hAnsi="Book Antiqua"/>
        </w:rPr>
      </w:pPr>
      <w:r w:rsidRPr="00BB4E9B">
        <w:rPr>
          <w:rFonts w:ascii="Book Antiqua" w:hAnsi="Book Antiqua"/>
        </w:rPr>
        <w:t>b)</w:t>
      </w:r>
      <w:r w:rsidRPr="00BB4E9B" w:rsidR="00EC51E4">
        <w:rPr>
          <w:rFonts w:ascii="Book Antiqua" w:hAnsi="Book Antiqua"/>
        </w:rPr>
        <w:t xml:space="preserve"> La sintomatología de la xerostomía no es muy variable.</w:t>
      </w:r>
    </w:p>
    <w:p w:rsidRPr="00BB4E9B" w:rsidR="009938A9" w:rsidP="00084743" w:rsidRDefault="009938A9" w14:paraId="2D1C6C85" w14:textId="4FC845F1">
      <w:pPr>
        <w:spacing w:after="240" w:line="360" w:lineRule="auto"/>
        <w:ind w:left="0" w:right="0" w:firstLine="0"/>
        <w:rPr>
          <w:rFonts w:ascii="Book Antiqua" w:hAnsi="Book Antiqua"/>
        </w:rPr>
      </w:pPr>
      <w:r w:rsidRPr="00BB4E9B">
        <w:rPr>
          <w:rFonts w:ascii="Book Antiqua" w:hAnsi="Book Antiqua"/>
        </w:rPr>
        <w:lastRenderedPageBreak/>
        <w:t>c)</w:t>
      </w:r>
      <w:r w:rsidRPr="00BB4E9B" w:rsidR="00EC51E4">
        <w:rPr>
          <w:rFonts w:ascii="Book Antiqua" w:hAnsi="Book Antiqua"/>
        </w:rPr>
        <w:t xml:space="preserve"> Se debe mantener una adecuada hidratación a nivel bucal mediante enjuagues de suero fisiológico o saliva artificial. </w:t>
      </w:r>
    </w:p>
    <w:p w:rsidRPr="00BB4E9B" w:rsidR="009938A9" w:rsidP="00084743" w:rsidRDefault="009938A9" w14:paraId="367BF22C" w14:textId="5CB8D27A">
      <w:pPr>
        <w:spacing w:before="360" w:after="0" w:line="360" w:lineRule="auto"/>
        <w:ind w:left="0" w:right="0" w:firstLine="0"/>
        <w:rPr>
          <w:rFonts w:ascii="Book Antiqua" w:hAnsi="Book Antiqua"/>
          <w:b/>
          <w:bCs/>
        </w:rPr>
      </w:pPr>
      <w:r w:rsidRPr="00BB4E9B">
        <w:rPr>
          <w:rFonts w:ascii="Book Antiqua" w:hAnsi="Book Antiqua"/>
          <w:b/>
          <w:bCs/>
          <w:color w:val="FF0000"/>
        </w:rPr>
        <w:t>6</w:t>
      </w:r>
      <w:r w:rsidRPr="00BB4E9B">
        <w:rPr>
          <w:rFonts w:ascii="Book Antiqua" w:hAnsi="Book Antiqua"/>
          <w:b/>
          <w:bCs/>
        </w:rPr>
        <w:t>.</w:t>
      </w:r>
      <w:r w:rsidRPr="00BB4E9B" w:rsidR="00EC51E4">
        <w:rPr>
          <w:rFonts w:ascii="Book Antiqua" w:hAnsi="Book Antiqua"/>
          <w:b/>
          <w:bCs/>
        </w:rPr>
        <w:t xml:space="preserve"> Sobre las náuseas y vómitos, destaca:</w:t>
      </w:r>
    </w:p>
    <w:p w:rsidRPr="00BB4E9B" w:rsidR="009938A9" w:rsidP="00084743" w:rsidRDefault="009938A9" w14:paraId="4C06633E" w14:textId="51301820">
      <w:pPr>
        <w:spacing w:after="0" w:line="360" w:lineRule="auto"/>
        <w:ind w:left="0" w:right="0" w:firstLine="0"/>
        <w:rPr>
          <w:rFonts w:ascii="Book Antiqua" w:hAnsi="Book Antiqua"/>
        </w:rPr>
      </w:pPr>
      <w:r w:rsidRPr="00BB4E9B">
        <w:rPr>
          <w:rFonts w:ascii="Book Antiqua" w:hAnsi="Book Antiqua"/>
        </w:rPr>
        <w:t>a)</w:t>
      </w:r>
      <w:r w:rsidRPr="00BB4E9B" w:rsidR="00EC51E4">
        <w:t xml:space="preserve"> </w:t>
      </w:r>
      <w:r w:rsidRPr="00BB4E9B" w:rsidR="00EC51E4">
        <w:rPr>
          <w:rFonts w:ascii="Book Antiqua" w:hAnsi="Book Antiqua"/>
        </w:rPr>
        <w:t xml:space="preserve">La mayor parte de los fármacos antineoplásicos utilizados hoy en día pueden provocar, en cierta medida, dichos síntomas. </w:t>
      </w:r>
    </w:p>
    <w:p w:rsidRPr="00BB4E9B" w:rsidR="009938A9" w:rsidP="244DEC21" w:rsidRDefault="009938A9" w14:paraId="2C1A1286" w14:textId="61B81762"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w:t>
      </w:r>
      <w:r w:rsidRPr="244DEC21" w:rsidR="244DEC21">
        <w:rPr>
          <w:rFonts w:ascii="Book Antiqua" w:hAnsi="Book Antiqua"/>
          <w:lang w:val="es-ES"/>
        </w:rPr>
        <w:t xml:space="preserve">Según su potencial </w:t>
      </w:r>
      <w:r w:rsidRPr="244DEC21" w:rsidR="244DEC21">
        <w:rPr>
          <w:rFonts w:ascii="Book Antiqua" w:hAnsi="Book Antiqua"/>
          <w:lang w:val="es-ES"/>
        </w:rPr>
        <w:t>emetógeno</w:t>
      </w:r>
      <w:r w:rsidRPr="244DEC21" w:rsidR="244DEC21">
        <w:rPr>
          <w:rFonts w:ascii="Book Antiqua" w:hAnsi="Book Antiqua"/>
          <w:lang w:val="es-ES"/>
        </w:rPr>
        <w:t>, los fármacos antineoplásicos se consideran de moderado riesgo, si producen náuseas en &gt; 90% de los pacientes.</w:t>
      </w:r>
    </w:p>
    <w:p w:rsidRPr="00BB4E9B" w:rsidR="009938A9" w:rsidP="00084743" w:rsidRDefault="009938A9" w14:paraId="7F455FB7" w14:textId="2D39DDBC">
      <w:pPr>
        <w:spacing w:after="0" w:line="360" w:lineRule="auto"/>
        <w:ind w:left="0" w:right="0" w:firstLine="0"/>
        <w:rPr>
          <w:rFonts w:ascii="Book Antiqua" w:hAnsi="Book Antiqua"/>
        </w:rPr>
      </w:pPr>
      <w:r w:rsidRPr="59C2EBA6" w:rsidR="59C2EBA6">
        <w:rPr>
          <w:rFonts w:ascii="Book Antiqua" w:hAnsi="Book Antiqua"/>
        </w:rPr>
        <w:t>c)</w:t>
      </w:r>
      <w:r w:rsidR="59C2EBA6">
        <w:rPr/>
        <w:t xml:space="preserve"> </w:t>
      </w:r>
      <w:r w:rsidRPr="59C2EBA6" w:rsidR="59C2EBA6">
        <w:rPr>
          <w:rFonts w:ascii="Book Antiqua" w:hAnsi="Book Antiqua"/>
        </w:rPr>
        <w:t>Para un correcto manejo terapéutico de esta sintomatología no es preciso distinguir el momento en el que aparece.</w:t>
      </w:r>
    </w:p>
    <w:p w:rsidR="59C2EBA6" w:rsidRDefault="59C2EBA6" w14:paraId="06AACF7E" w14:textId="14DDFCA8">
      <w:r>
        <w:br w:type="page"/>
      </w:r>
    </w:p>
    <w:p w:rsidRPr="00BB4E9B" w:rsidR="009938A9" w:rsidP="00084743" w:rsidRDefault="009938A9" w14:paraId="2375E2CC" w14:textId="5C828FD3">
      <w:pPr>
        <w:spacing w:before="360" w:line="360" w:lineRule="auto"/>
        <w:ind w:left="0" w:right="0" w:firstLine="0"/>
        <w:rPr>
          <w:rFonts w:ascii="Book Antiqua" w:hAnsi="Book Antiqua"/>
          <w:b/>
          <w:bCs/>
        </w:rPr>
      </w:pPr>
      <w:r w:rsidRPr="00BB4E9B">
        <w:rPr>
          <w:rFonts w:ascii="Book Antiqua" w:hAnsi="Book Antiqua"/>
          <w:b/>
          <w:bCs/>
          <w:color w:val="FF0000"/>
        </w:rPr>
        <w:t>7</w:t>
      </w:r>
      <w:r w:rsidRPr="00BB4E9B">
        <w:rPr>
          <w:rFonts w:ascii="Book Antiqua" w:hAnsi="Book Antiqua"/>
          <w:b/>
          <w:bCs/>
        </w:rPr>
        <w:t>.</w:t>
      </w:r>
      <w:r w:rsidRPr="00BB4E9B" w:rsidR="00306E13">
        <w:rPr>
          <w:rFonts w:ascii="Book Antiqua" w:hAnsi="Book Antiqua"/>
          <w:b/>
          <w:bCs/>
        </w:rPr>
        <w:t xml:space="preserve"> </w:t>
      </w:r>
      <w:r w:rsidRPr="00BB4E9B" w:rsidR="00677E77">
        <w:rPr>
          <w:rFonts w:ascii="Book Antiqua" w:hAnsi="Book Antiqua"/>
          <w:b/>
          <w:bCs/>
        </w:rPr>
        <w:t>También subraya:</w:t>
      </w:r>
    </w:p>
    <w:p w:rsidRPr="00BB4E9B" w:rsidR="009938A9" w:rsidP="00084743" w:rsidRDefault="009938A9" w14:paraId="7C8A7490" w14:textId="55CFC46C">
      <w:pPr>
        <w:spacing w:after="0" w:line="360" w:lineRule="auto"/>
        <w:ind w:left="0" w:right="0" w:firstLine="0"/>
        <w:rPr>
          <w:rFonts w:ascii="Book Antiqua" w:hAnsi="Book Antiqua"/>
        </w:rPr>
      </w:pPr>
      <w:r w:rsidRPr="00BB4E9B">
        <w:rPr>
          <w:rFonts w:ascii="Book Antiqua" w:hAnsi="Book Antiqua"/>
        </w:rPr>
        <w:t>a)</w:t>
      </w:r>
      <w:r w:rsidRPr="00BB4E9B" w:rsidR="00677E77">
        <w:t xml:space="preserve"> En caso de utilizar fármacos con bajo riesgo de emesis, la utilización de un agente único como un antagonista 5HT3, dexametasona o metoclopramida, nunca es suficientes para prevenir las náuseas/vómitos.</w:t>
      </w:r>
    </w:p>
    <w:p w:rsidRPr="00BB4E9B" w:rsidR="009938A9" w:rsidP="00084743" w:rsidRDefault="009938A9" w14:paraId="66A6AAF3" w14:textId="7C932673">
      <w:pPr>
        <w:spacing w:after="0" w:line="360" w:lineRule="auto"/>
        <w:ind w:left="0" w:right="0" w:firstLine="0"/>
        <w:rPr>
          <w:rFonts w:ascii="Book Antiqua" w:hAnsi="Book Antiqua"/>
        </w:rPr>
      </w:pPr>
      <w:r w:rsidRPr="00BB4E9B">
        <w:rPr>
          <w:rFonts w:ascii="Book Antiqua" w:hAnsi="Book Antiqua"/>
        </w:rPr>
        <w:t>b)</w:t>
      </w:r>
      <w:r w:rsidRPr="00BB4E9B" w:rsidR="00677E77">
        <w:t xml:space="preserve"> </w:t>
      </w:r>
      <w:r w:rsidRPr="00BB4E9B" w:rsidR="00677E77">
        <w:rPr>
          <w:rFonts w:ascii="Book Antiqua" w:hAnsi="Book Antiqua"/>
        </w:rPr>
        <w:t>En caso de presentar náuseas/vómitos a pesar de la profilaxis, se debe modificar la pauta antiemética, sin pararse a descartar otras causas que puedan provocar las mismas.</w:t>
      </w:r>
    </w:p>
    <w:p w:rsidRPr="00BB4E9B" w:rsidR="009938A9" w:rsidP="244DEC21" w:rsidRDefault="009938A9" w14:paraId="22F9292F" w14:textId="3D1A5AD8">
      <w:pPr>
        <w:spacing w:after="0" w:line="360" w:lineRule="auto"/>
        <w:ind w:left="0" w:right="0" w:firstLine="0"/>
        <w:rPr>
          <w:rFonts w:ascii="Book Antiqua" w:hAnsi="Book Antiqua"/>
          <w:lang w:val="es-ES"/>
        </w:rPr>
      </w:pPr>
      <w:r w:rsidRPr="244DEC21" w:rsidR="244DEC21">
        <w:rPr>
          <w:rFonts w:ascii="Book Antiqua" w:hAnsi="Book Antiqua"/>
          <w:lang w:val="es-ES"/>
        </w:rPr>
        <w:t>c)</w:t>
      </w:r>
      <w:r w:rsidRPr="244DEC21" w:rsidR="244DEC21">
        <w:rPr>
          <w:rFonts w:ascii="Book Antiqua" w:hAnsi="Book Antiqua"/>
          <w:lang w:val="es-ES"/>
        </w:rPr>
        <w:t xml:space="preserve"> </w:t>
      </w:r>
      <w:r w:rsidRPr="244DEC21" w:rsidR="244DEC21">
        <w:rPr>
          <w:lang w:val="es-ES"/>
        </w:rPr>
        <w:t xml:space="preserve">Para </w:t>
      </w:r>
      <w:r w:rsidRPr="244DEC21" w:rsidR="244DEC21">
        <w:rPr>
          <w:rFonts w:ascii="Book Antiqua" w:hAnsi="Book Antiqua"/>
          <w:lang w:val="es-ES"/>
        </w:rPr>
        <w:t xml:space="preserve">disminuir la probabilidad de presentar un cuadro de náuseas/vómitos agudos, según las recomendaciones de las guías </w:t>
      </w:r>
      <w:r w:rsidRPr="244DEC21" w:rsidR="244DEC21">
        <w:rPr>
          <w:rFonts w:ascii="Book Antiqua" w:hAnsi="Book Antiqua"/>
          <w:lang w:val="es-ES"/>
        </w:rPr>
        <w:t>MASCC</w:t>
      </w:r>
      <w:r w:rsidRPr="244DEC21" w:rsidR="244DEC21">
        <w:rPr>
          <w:rFonts w:ascii="Book Antiqua" w:hAnsi="Book Antiqua"/>
          <w:lang w:val="es-ES"/>
        </w:rPr>
        <w:t xml:space="preserve">, en los pacientes que vayan a recibir quimioterápicos con alto riesgo de emesis, se recomienda la asociación de un antagonista de los receptores de serotonina (5HT3), corticosteroides (preferiblemente dexametasona), así como un antagonista del receptor de neurokinina1 (NK1) como </w:t>
      </w:r>
      <w:r w:rsidRPr="244DEC21" w:rsidR="244DEC21">
        <w:rPr>
          <w:rFonts w:ascii="Book Antiqua" w:hAnsi="Book Antiqua"/>
          <w:lang w:val="es-ES"/>
        </w:rPr>
        <w:t>aprepitant</w:t>
      </w:r>
      <w:r w:rsidRPr="244DEC21" w:rsidR="244DEC21">
        <w:rPr>
          <w:rFonts w:ascii="Book Antiqua" w:hAnsi="Book Antiqua"/>
          <w:lang w:val="es-ES"/>
        </w:rPr>
        <w:t xml:space="preserve"> o </w:t>
      </w:r>
      <w:r w:rsidRPr="244DEC21" w:rsidR="244DEC21">
        <w:rPr>
          <w:rFonts w:ascii="Book Antiqua" w:hAnsi="Book Antiqua"/>
          <w:lang w:val="es-ES"/>
        </w:rPr>
        <w:t>fosaprepitant</w:t>
      </w:r>
      <w:r w:rsidRPr="244DEC21" w:rsidR="244DEC21">
        <w:rPr>
          <w:rFonts w:ascii="Book Antiqua" w:hAnsi="Book Antiqua"/>
          <w:lang w:val="es-ES"/>
        </w:rPr>
        <w:t xml:space="preserve"> el día de la administración del tratamiento quimioterápico. </w:t>
      </w:r>
    </w:p>
    <w:p w:rsidRPr="00BB4E9B" w:rsidR="009938A9" w:rsidP="00084743" w:rsidRDefault="009938A9" w14:paraId="4BADC20C" w14:textId="2A39BC1E">
      <w:pPr>
        <w:spacing w:before="360" w:line="360" w:lineRule="auto"/>
        <w:ind w:left="0" w:right="0" w:firstLine="0"/>
        <w:rPr>
          <w:rFonts w:ascii="Book Antiqua" w:hAnsi="Book Antiqua"/>
          <w:b/>
          <w:bCs/>
        </w:rPr>
      </w:pPr>
      <w:r w:rsidRPr="00BB4E9B">
        <w:rPr>
          <w:rFonts w:ascii="Book Antiqua" w:hAnsi="Book Antiqua"/>
          <w:b/>
          <w:bCs/>
          <w:color w:val="FF0000"/>
        </w:rPr>
        <w:t>8</w:t>
      </w:r>
      <w:r w:rsidRPr="00BB4E9B">
        <w:rPr>
          <w:rFonts w:ascii="Book Antiqua" w:hAnsi="Book Antiqua"/>
          <w:b/>
          <w:bCs/>
        </w:rPr>
        <w:t>.</w:t>
      </w:r>
      <w:r w:rsidRPr="00BB4E9B" w:rsidR="0060670D">
        <w:rPr>
          <w:rFonts w:ascii="Book Antiqua" w:hAnsi="Book Antiqua"/>
          <w:b/>
          <w:bCs/>
        </w:rPr>
        <w:t xml:space="preserve"> En el caso de la diarrea, observa:</w:t>
      </w:r>
    </w:p>
    <w:p w:rsidRPr="00BB4E9B" w:rsidR="009938A9" w:rsidP="244DEC21" w:rsidRDefault="009938A9" w14:paraId="63FA1542" w14:textId="6BD24291" w14:noSpellErr="1">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rFonts w:ascii="Book Antiqua" w:hAnsi="Book Antiqua"/>
          <w:lang w:val="es-ES"/>
        </w:rPr>
        <w:t xml:space="preserve"> </w:t>
      </w:r>
      <w:r w:rsidRPr="244DEC21" w:rsidR="244DEC21">
        <w:rPr>
          <w:rFonts w:ascii="Book Antiqua" w:hAnsi="Book Antiqua"/>
          <w:lang w:val="es-ES"/>
        </w:rPr>
        <w:t xml:space="preserve">Entre los quimioterápicos que producen menor grado de diarrea destaca el 5- </w:t>
      </w:r>
      <w:r w:rsidRPr="244DEC21" w:rsidR="244DEC21">
        <w:rPr>
          <w:rFonts w:ascii="Book Antiqua" w:hAnsi="Book Antiqua"/>
          <w:lang w:val="es-ES"/>
        </w:rPr>
        <w:t>fluorouracilo</w:t>
      </w:r>
      <w:r w:rsidRPr="244DEC21" w:rsidR="244DEC21">
        <w:rPr>
          <w:rFonts w:ascii="Book Antiqua" w:hAnsi="Book Antiqua"/>
          <w:lang w:val="es-ES"/>
        </w:rPr>
        <w:t xml:space="preserve"> y el </w:t>
      </w:r>
      <w:r w:rsidRPr="244DEC21" w:rsidR="244DEC21">
        <w:rPr>
          <w:rFonts w:ascii="Book Antiqua" w:hAnsi="Book Antiqua"/>
          <w:lang w:val="es-ES"/>
        </w:rPr>
        <w:t>irinotecan</w:t>
      </w:r>
      <w:r w:rsidRPr="244DEC21" w:rsidR="244DEC21">
        <w:rPr>
          <w:rFonts w:ascii="Book Antiqua" w:hAnsi="Book Antiqua"/>
          <w:lang w:val="es-ES"/>
        </w:rPr>
        <w:t>.</w:t>
      </w:r>
    </w:p>
    <w:p w:rsidRPr="00BB4E9B" w:rsidR="009938A9" w:rsidP="00084743" w:rsidRDefault="009938A9" w14:paraId="0C0E6916" w14:textId="371BD46E">
      <w:pPr>
        <w:spacing w:after="0" w:line="360" w:lineRule="auto"/>
        <w:ind w:left="0" w:right="0" w:firstLine="0"/>
        <w:rPr>
          <w:rFonts w:ascii="Book Antiqua" w:hAnsi="Book Antiqua"/>
        </w:rPr>
      </w:pPr>
      <w:r w:rsidRPr="00BB4E9B">
        <w:rPr>
          <w:rFonts w:ascii="Book Antiqua" w:hAnsi="Book Antiqua"/>
        </w:rPr>
        <w:t>b)</w:t>
      </w:r>
      <w:r w:rsidRPr="00BB4E9B" w:rsidR="00817F37">
        <w:t xml:space="preserve"> </w:t>
      </w:r>
      <w:r w:rsidRPr="00BB4E9B" w:rsidR="00817F37">
        <w:rPr>
          <w:rFonts w:ascii="Book Antiqua" w:hAnsi="Book Antiqua"/>
        </w:rPr>
        <w:t xml:space="preserve">Existen numerosas fuentes que pueden producir potencialmente diarrea y su patogenia suele ser diferente, por lo que conviene conocer los diferentes mecanismos asociados a dichos fármacos para poder tratar de manera óptima estos síntomas. </w:t>
      </w:r>
    </w:p>
    <w:p w:rsidRPr="00BB4E9B" w:rsidR="009938A9" w:rsidP="244DEC21" w:rsidRDefault="009938A9" w14:paraId="1FE217E2" w14:textId="09349848" w14:noSpellErr="1">
      <w:pPr>
        <w:spacing w:after="240" w:line="360" w:lineRule="auto"/>
        <w:ind w:left="0" w:right="0" w:firstLine="0"/>
        <w:rPr>
          <w:rFonts w:ascii="Book Antiqua" w:hAnsi="Book Antiqua"/>
          <w:lang w:val="es-ES"/>
        </w:rPr>
      </w:pPr>
      <w:r w:rsidRPr="59C2EBA6" w:rsidR="59C2EBA6">
        <w:rPr>
          <w:rFonts w:ascii="Book Antiqua" w:hAnsi="Book Antiqua"/>
          <w:lang w:val="es-ES"/>
        </w:rPr>
        <w:t>c)</w:t>
      </w:r>
      <w:r w:rsidRPr="59C2EBA6" w:rsidR="59C2EBA6">
        <w:rPr>
          <w:rFonts w:ascii="Book Antiqua" w:hAnsi="Book Antiqua"/>
          <w:lang w:val="es-ES"/>
        </w:rPr>
        <w:t xml:space="preserve"> La acción directa de SN38 sobre la mucosa intestinal es el único mecanismo por el cual </w:t>
      </w:r>
      <w:r w:rsidRPr="59C2EBA6" w:rsidR="59C2EBA6">
        <w:rPr>
          <w:rFonts w:ascii="Book Antiqua" w:hAnsi="Book Antiqua"/>
          <w:lang w:val="es-ES"/>
        </w:rPr>
        <w:t>irinotecan</w:t>
      </w:r>
      <w:r w:rsidRPr="59C2EBA6" w:rsidR="59C2EBA6">
        <w:rPr>
          <w:rFonts w:ascii="Book Antiqua" w:hAnsi="Book Antiqua"/>
          <w:lang w:val="es-ES"/>
        </w:rPr>
        <w:t xml:space="preserve"> puede producir diarrea.</w:t>
      </w:r>
    </w:p>
    <w:p w:rsidR="59C2EBA6" w:rsidRDefault="59C2EBA6" w14:paraId="2420FFD7" w14:textId="2EAEE6EA">
      <w:r>
        <w:br w:type="page"/>
      </w:r>
    </w:p>
    <w:p w:rsidRPr="00BB4E9B" w:rsidR="009938A9" w:rsidP="00084743" w:rsidRDefault="009938A9" w14:paraId="3FBAF6FE" w14:textId="308DA242">
      <w:pPr>
        <w:spacing w:before="360" w:after="0" w:line="360" w:lineRule="auto"/>
        <w:ind w:left="0" w:right="0" w:firstLine="0"/>
        <w:rPr>
          <w:rFonts w:ascii="Book Antiqua" w:hAnsi="Book Antiqua"/>
          <w:b/>
          <w:bCs/>
        </w:rPr>
      </w:pPr>
      <w:r w:rsidRPr="00BB4E9B">
        <w:rPr>
          <w:rFonts w:ascii="Book Antiqua" w:hAnsi="Book Antiqua"/>
          <w:b/>
          <w:bCs/>
          <w:color w:val="FF0000"/>
        </w:rPr>
        <w:t>9</w:t>
      </w:r>
      <w:r w:rsidRPr="00BB4E9B">
        <w:rPr>
          <w:rFonts w:ascii="Book Antiqua" w:hAnsi="Book Antiqua"/>
          <w:b/>
          <w:bCs/>
        </w:rPr>
        <w:t>.</w:t>
      </w:r>
      <w:r w:rsidRPr="00BB4E9B" w:rsidR="00817F37">
        <w:rPr>
          <w:rFonts w:ascii="Book Antiqua" w:hAnsi="Book Antiqua"/>
          <w:b/>
          <w:bCs/>
        </w:rPr>
        <w:t xml:space="preserve"> Igualmente, señala:</w:t>
      </w:r>
    </w:p>
    <w:p w:rsidRPr="00BB4E9B" w:rsidR="009938A9" w:rsidP="244DEC21" w:rsidRDefault="009938A9" w14:paraId="02A24977" w14:textId="637D4BBB" w14:noSpellErr="1">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lang w:val="es-ES"/>
        </w:rPr>
        <w:t xml:space="preserve"> </w:t>
      </w:r>
      <w:r w:rsidRPr="244DEC21" w:rsidR="244DEC21">
        <w:rPr>
          <w:rFonts w:ascii="Book Antiqua" w:hAnsi="Book Antiqua"/>
          <w:lang w:val="es-ES"/>
        </w:rPr>
        <w:t xml:space="preserve">En el caso del 5-fluorouracilo, este no se asocia a cuadros de diarrea, especialmente cuando se administra en </w:t>
      </w:r>
      <w:r w:rsidRPr="244DEC21" w:rsidR="244DEC21">
        <w:rPr>
          <w:rFonts w:ascii="Book Antiqua" w:hAnsi="Book Antiqua"/>
          <w:lang w:val="es-ES"/>
        </w:rPr>
        <w:t>bolus</w:t>
      </w:r>
      <w:r w:rsidRPr="244DEC21" w:rsidR="244DEC21">
        <w:rPr>
          <w:rFonts w:ascii="Book Antiqua" w:hAnsi="Book Antiqua"/>
          <w:lang w:val="es-ES"/>
        </w:rPr>
        <w:t>.</w:t>
      </w:r>
    </w:p>
    <w:p w:rsidRPr="00BB4E9B" w:rsidR="009938A9" w:rsidP="244DEC21" w:rsidRDefault="009938A9" w14:paraId="26E90FE2" w14:textId="1D4756F4"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La </w:t>
      </w:r>
      <w:r w:rsidRPr="244DEC21" w:rsidR="244DEC21">
        <w:rPr>
          <w:rFonts w:ascii="Book Antiqua" w:hAnsi="Book Antiqua"/>
          <w:lang w:val="es-ES"/>
        </w:rPr>
        <w:t>capecitabina</w:t>
      </w:r>
      <w:r w:rsidRPr="244DEC21" w:rsidR="244DEC21">
        <w:rPr>
          <w:rFonts w:ascii="Book Antiqua" w:hAnsi="Book Antiqua"/>
          <w:lang w:val="es-ES"/>
        </w:rPr>
        <w:t xml:space="preserve"> se convierte en 5-fluorouracilo y, por tanto, no es una fuente potencial de diarrea.</w:t>
      </w:r>
    </w:p>
    <w:p w:rsidRPr="00BB4E9B" w:rsidR="009938A9" w:rsidP="00084743" w:rsidRDefault="009938A9" w14:paraId="561306AD" w14:textId="41B15022">
      <w:pPr>
        <w:spacing w:after="240" w:line="360" w:lineRule="auto"/>
        <w:ind w:left="0" w:right="0" w:firstLine="0"/>
        <w:rPr>
          <w:rFonts w:ascii="Book Antiqua" w:hAnsi="Book Antiqua"/>
        </w:rPr>
      </w:pPr>
      <w:r w:rsidRPr="00BB4E9B">
        <w:rPr>
          <w:rFonts w:ascii="Book Antiqua" w:hAnsi="Book Antiqua"/>
        </w:rPr>
        <w:t>c)</w:t>
      </w:r>
      <w:r w:rsidRPr="00BB4E9B" w:rsidR="00817F37">
        <w:t xml:space="preserve"> </w:t>
      </w:r>
      <w:r w:rsidRPr="00BB4E9B" w:rsidR="00817F37">
        <w:rPr>
          <w:rFonts w:ascii="Book Antiqua" w:hAnsi="Book Antiqua"/>
        </w:rPr>
        <w:t xml:space="preserve">Es el metabolito activo el que potencialmente provoca cuadros de diarrea, que puede llegar a ser severa y requerir hospitalización hasta en un 8% de los pacientes. </w:t>
      </w:r>
    </w:p>
    <w:p w:rsidRPr="00BB4E9B" w:rsidR="009938A9" w:rsidP="00084743" w:rsidRDefault="009938A9" w14:paraId="32F406D2" w14:textId="79CDCEF5">
      <w:pPr>
        <w:spacing w:before="360" w:after="0" w:line="360" w:lineRule="auto"/>
        <w:ind w:left="0" w:right="0" w:firstLine="0"/>
        <w:rPr>
          <w:rFonts w:ascii="Book Antiqua" w:hAnsi="Book Antiqua"/>
          <w:b/>
          <w:bCs/>
        </w:rPr>
      </w:pPr>
      <w:r w:rsidRPr="00BB4E9B">
        <w:rPr>
          <w:rFonts w:ascii="Book Antiqua" w:hAnsi="Book Antiqua"/>
          <w:b/>
          <w:bCs/>
          <w:color w:val="FF0000"/>
        </w:rPr>
        <w:t>10</w:t>
      </w:r>
      <w:r w:rsidRPr="00BB4E9B">
        <w:rPr>
          <w:rFonts w:ascii="Book Antiqua" w:hAnsi="Book Antiqua"/>
          <w:b/>
          <w:bCs/>
        </w:rPr>
        <w:t>.</w:t>
      </w:r>
      <w:r w:rsidRPr="00BB4E9B" w:rsidR="00114006">
        <w:rPr>
          <w:rFonts w:ascii="Book Antiqua" w:hAnsi="Book Antiqua"/>
          <w:b/>
          <w:bCs/>
        </w:rPr>
        <w:t xml:space="preserve"> Otros aspectos que destaca con relación a la diarrea son:</w:t>
      </w:r>
    </w:p>
    <w:p w:rsidRPr="00BB4E9B" w:rsidR="009938A9" w:rsidP="244DEC21" w:rsidRDefault="009938A9" w14:paraId="56B67650" w14:textId="4A5C0FD4">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lang w:val="es-ES"/>
        </w:rPr>
        <w:t xml:space="preserve"> </w:t>
      </w:r>
      <w:r w:rsidRPr="244DEC21" w:rsidR="244DEC21">
        <w:rPr>
          <w:rFonts w:ascii="Book Antiqua" w:hAnsi="Book Antiqua"/>
          <w:lang w:val="es-ES"/>
        </w:rPr>
        <w:t xml:space="preserve">Actualmente contamos con nuevas moléculas dirigidas a ciertas dianas oncogénicas que causan cuadros de diarrea que pueden llegar a ser tan graves como los causados por los quimioterápicos sistémicos, como, por ejemplo, los inhibidores de </w:t>
      </w:r>
      <w:r w:rsidRPr="244DEC21" w:rsidR="244DEC21">
        <w:rPr>
          <w:rFonts w:ascii="Book Antiqua" w:hAnsi="Book Antiqua"/>
          <w:lang w:val="es-ES"/>
        </w:rPr>
        <w:t>tirosin</w:t>
      </w:r>
      <w:r w:rsidRPr="244DEC21" w:rsidR="244DEC21">
        <w:rPr>
          <w:rFonts w:ascii="Book Antiqua" w:hAnsi="Book Antiqua"/>
          <w:lang w:val="es-ES"/>
        </w:rPr>
        <w:t xml:space="preserve"> </w:t>
      </w:r>
      <w:r w:rsidRPr="244DEC21" w:rsidR="244DEC21">
        <w:rPr>
          <w:rFonts w:ascii="Book Antiqua" w:hAnsi="Book Antiqua"/>
          <w:lang w:val="es-ES"/>
        </w:rPr>
        <w:t>kinasa</w:t>
      </w:r>
      <w:r w:rsidRPr="244DEC21" w:rsidR="244DEC21">
        <w:rPr>
          <w:rFonts w:ascii="Book Antiqua" w:hAnsi="Book Antiqua"/>
          <w:lang w:val="es-ES"/>
        </w:rPr>
        <w:t>, especialmente aquellos que van dirigidos contra el receptor del factor de crecimiento epidérmico (</w:t>
      </w:r>
      <w:r w:rsidRPr="244DEC21" w:rsidR="244DEC21">
        <w:rPr>
          <w:rFonts w:ascii="Book Antiqua" w:hAnsi="Book Antiqua"/>
          <w:lang w:val="es-ES"/>
        </w:rPr>
        <w:t>EGFR</w:t>
      </w:r>
      <w:r w:rsidRPr="244DEC21" w:rsidR="244DEC21">
        <w:rPr>
          <w:rFonts w:ascii="Book Antiqua" w:hAnsi="Book Antiqua"/>
          <w:lang w:val="es-ES"/>
        </w:rPr>
        <w:t xml:space="preserve">). </w:t>
      </w:r>
    </w:p>
    <w:p w:rsidRPr="00BB4E9B" w:rsidR="009938A9" w:rsidP="00084743" w:rsidRDefault="009938A9" w14:paraId="30E5B49A" w14:textId="665AB9BC">
      <w:pPr>
        <w:spacing w:after="0" w:line="360" w:lineRule="auto"/>
        <w:ind w:left="0" w:right="0" w:firstLine="0"/>
        <w:rPr>
          <w:rFonts w:ascii="Book Antiqua" w:hAnsi="Book Antiqua"/>
        </w:rPr>
      </w:pPr>
      <w:r w:rsidRPr="00BB4E9B">
        <w:rPr>
          <w:rFonts w:ascii="Book Antiqua" w:hAnsi="Book Antiqua"/>
        </w:rPr>
        <w:t>b)</w:t>
      </w:r>
      <w:r w:rsidRPr="00BB4E9B" w:rsidR="00114006">
        <w:rPr>
          <w:rFonts w:ascii="Book Antiqua" w:hAnsi="Book Antiqua"/>
        </w:rPr>
        <w:t xml:space="preserve"> Para el tratamiento de la diarrea inducida por quimioterapia no es necesario que primero se descarte que la diarrea sea un cuadro infeccioso.</w:t>
      </w:r>
    </w:p>
    <w:p w:rsidRPr="00BB4E9B" w:rsidR="009938A9" w:rsidP="00084743" w:rsidRDefault="009938A9" w14:paraId="774E541B" w14:textId="335AD6AE">
      <w:pPr>
        <w:spacing w:after="240" w:line="360" w:lineRule="auto"/>
        <w:ind w:left="0" w:right="0" w:firstLine="0"/>
        <w:rPr>
          <w:rFonts w:ascii="Book Antiqua" w:hAnsi="Book Antiqua"/>
        </w:rPr>
      </w:pPr>
      <w:r w:rsidRPr="00BB4E9B">
        <w:rPr>
          <w:rFonts w:ascii="Book Antiqua" w:hAnsi="Book Antiqua"/>
        </w:rPr>
        <w:t>c)</w:t>
      </w:r>
      <w:r w:rsidRPr="00BB4E9B" w:rsidR="00114006">
        <w:rPr>
          <w:rFonts w:ascii="Book Antiqua" w:hAnsi="Book Antiqua"/>
        </w:rPr>
        <w:t xml:space="preserve"> Tampoco es necesario conocer el estado general que presenta un paciente en tratamiento con quimioterapia, y que presenta diarrea.</w:t>
      </w:r>
    </w:p>
    <w:p w:rsidRPr="00BB4E9B" w:rsidR="009938A9" w:rsidP="00084743" w:rsidRDefault="009938A9" w14:paraId="12FD79AF" w14:textId="3A4B7C13">
      <w:pPr>
        <w:spacing w:before="360" w:after="0" w:line="360" w:lineRule="auto"/>
        <w:ind w:left="0" w:right="0" w:firstLine="0"/>
        <w:rPr>
          <w:rFonts w:ascii="Book Antiqua" w:hAnsi="Book Antiqua"/>
          <w:b/>
          <w:bCs/>
        </w:rPr>
      </w:pPr>
      <w:r w:rsidRPr="00BB4E9B">
        <w:rPr>
          <w:rFonts w:ascii="Book Antiqua" w:hAnsi="Book Antiqua"/>
          <w:b/>
          <w:bCs/>
          <w:color w:val="FF0000"/>
        </w:rPr>
        <w:t>11</w:t>
      </w:r>
      <w:r w:rsidRPr="00BB4E9B">
        <w:rPr>
          <w:rFonts w:ascii="Book Antiqua" w:hAnsi="Book Antiqua"/>
          <w:b/>
          <w:bCs/>
        </w:rPr>
        <w:t>.</w:t>
      </w:r>
      <w:r w:rsidRPr="00BB4E9B" w:rsidR="00114006">
        <w:rPr>
          <w:rFonts w:ascii="Book Antiqua" w:hAnsi="Book Antiqua"/>
          <w:b/>
          <w:bCs/>
        </w:rPr>
        <w:t xml:space="preserve"> Además, indica, con respecto a la diarrea:</w:t>
      </w:r>
    </w:p>
    <w:p w:rsidRPr="00BB4E9B" w:rsidR="009938A9" w:rsidP="00084743" w:rsidRDefault="009938A9" w14:paraId="2131FB61" w14:textId="759AC083">
      <w:pPr>
        <w:spacing w:after="0" w:line="360" w:lineRule="auto"/>
        <w:ind w:left="0" w:right="0" w:firstLine="0"/>
        <w:rPr>
          <w:rFonts w:ascii="Book Antiqua" w:hAnsi="Book Antiqua"/>
        </w:rPr>
      </w:pPr>
      <w:r w:rsidRPr="00BB4E9B">
        <w:rPr>
          <w:rFonts w:ascii="Book Antiqua" w:hAnsi="Book Antiqua"/>
        </w:rPr>
        <w:t>a)</w:t>
      </w:r>
      <w:r w:rsidRPr="00BB4E9B" w:rsidR="00114006">
        <w:rPr>
          <w:rFonts w:ascii="Book Antiqua" w:hAnsi="Book Antiqua"/>
        </w:rPr>
        <w:t xml:space="preserve"> La loperamida no presenta contraindicaciones para su uso ni tiene efectos secundarios.</w:t>
      </w:r>
    </w:p>
    <w:p w:rsidRPr="00BB4E9B" w:rsidR="009938A9" w:rsidP="244DEC21" w:rsidRDefault="009938A9" w14:paraId="158572AF" w14:textId="0EB7D208"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El tratamiento con </w:t>
      </w:r>
      <w:r w:rsidRPr="244DEC21" w:rsidR="244DEC21">
        <w:rPr>
          <w:rFonts w:ascii="Book Antiqua" w:hAnsi="Book Antiqua"/>
          <w:lang w:val="es-ES"/>
        </w:rPr>
        <w:t>racecadotrilo</w:t>
      </w:r>
      <w:r w:rsidRPr="244DEC21" w:rsidR="244DEC21">
        <w:rPr>
          <w:rFonts w:ascii="Book Antiqua" w:hAnsi="Book Antiqua"/>
          <w:lang w:val="es-ES"/>
        </w:rPr>
        <w:t xml:space="preserve">, en lo que se refiere a la dosis recomendada, es de 100 mg cada 4 horas hasta conseguir reducir las deposiciones a dos por día. Es recomendable continuar con este tratamiento durante </w:t>
      </w:r>
      <w:r w:rsidRPr="244DEC21" w:rsidR="244DEC21">
        <w:rPr>
          <w:rFonts w:ascii="Book Antiqua" w:hAnsi="Book Antiqua"/>
          <w:lang w:val="es-ES"/>
        </w:rPr>
        <w:t>casi un mes</w:t>
      </w:r>
      <w:r w:rsidRPr="244DEC21" w:rsidR="244DEC21">
        <w:rPr>
          <w:rFonts w:ascii="Book Antiqua" w:hAnsi="Book Antiqua"/>
          <w:lang w:val="es-ES"/>
        </w:rPr>
        <w:t xml:space="preserve">. </w:t>
      </w:r>
    </w:p>
    <w:p w:rsidRPr="00BB4E9B" w:rsidR="009938A9" w:rsidP="00084743" w:rsidRDefault="009938A9" w14:paraId="3B8D7120" w14:textId="48D80BEF">
      <w:pPr>
        <w:spacing w:after="240" w:line="360" w:lineRule="auto"/>
        <w:ind w:left="0" w:right="0" w:firstLine="0"/>
        <w:rPr>
          <w:rFonts w:ascii="Book Antiqua" w:hAnsi="Book Antiqua"/>
        </w:rPr>
      </w:pPr>
      <w:r w:rsidRPr="00BB4E9B">
        <w:rPr>
          <w:rFonts w:ascii="Book Antiqua" w:hAnsi="Book Antiqua"/>
        </w:rPr>
        <w:t>c)</w:t>
      </w:r>
      <w:r w:rsidRPr="00BB4E9B" w:rsidR="00114006">
        <w:rPr>
          <w:rFonts w:ascii="Book Antiqua" w:hAnsi="Book Antiqua"/>
        </w:rPr>
        <w:t xml:space="preserve"> Es importante que el paciente evite alimentos que puedan irritar la mucosa intestinal (como los lácteos, fritos o el alcohol) y que se garantice una ingesta hídrica y electrolítica adecuada. </w:t>
      </w:r>
    </w:p>
    <w:p w:rsidR="00F75508" w:rsidRDefault="00F75508" w14:paraId="2A54F8ED" w14:textId="77777777">
      <w:pPr>
        <w:spacing w:before="0" w:after="0" w:line="240" w:lineRule="auto"/>
        <w:ind w:left="0" w:right="0" w:firstLine="0"/>
        <w:jc w:val="left"/>
        <w:rPr>
          <w:rFonts w:ascii="Book Antiqua" w:hAnsi="Book Antiqua"/>
          <w:b/>
          <w:bCs/>
          <w:color w:val="FF0000"/>
        </w:rPr>
      </w:pPr>
      <w:r>
        <w:rPr>
          <w:rFonts w:ascii="Book Antiqua" w:hAnsi="Book Antiqua"/>
          <w:b/>
          <w:bCs/>
          <w:color w:val="FF0000"/>
        </w:rPr>
        <w:br w:type="page"/>
      </w:r>
    </w:p>
    <w:p w:rsidRPr="00BB4E9B" w:rsidR="009938A9" w:rsidP="00084743" w:rsidRDefault="009938A9" w14:paraId="3C39B264" w14:textId="66A6DC0E">
      <w:pPr>
        <w:spacing w:before="360" w:line="360" w:lineRule="auto"/>
        <w:ind w:left="0" w:right="0" w:firstLine="0"/>
        <w:rPr>
          <w:rFonts w:ascii="Book Antiqua" w:hAnsi="Book Antiqua"/>
          <w:b/>
          <w:bCs/>
        </w:rPr>
      </w:pPr>
      <w:r w:rsidRPr="00BB4E9B">
        <w:rPr>
          <w:rFonts w:ascii="Book Antiqua" w:hAnsi="Book Antiqua"/>
          <w:b/>
          <w:bCs/>
          <w:color w:val="FF0000"/>
        </w:rPr>
        <w:lastRenderedPageBreak/>
        <w:t>12</w:t>
      </w:r>
      <w:r w:rsidRPr="00BB4E9B">
        <w:rPr>
          <w:rFonts w:ascii="Book Antiqua" w:hAnsi="Book Antiqua"/>
          <w:b/>
          <w:bCs/>
        </w:rPr>
        <w:t>.</w:t>
      </w:r>
      <w:r w:rsidRPr="00BB4E9B" w:rsidR="006258C7">
        <w:rPr>
          <w:rFonts w:ascii="Book Antiqua" w:hAnsi="Book Antiqua"/>
          <w:b/>
          <w:bCs/>
        </w:rPr>
        <w:t xml:space="preserve"> En lo que se refiere a la alopecia, indica:</w:t>
      </w:r>
    </w:p>
    <w:p w:rsidRPr="00BB4E9B" w:rsidR="009938A9" w:rsidP="00084743" w:rsidRDefault="009938A9" w14:paraId="0C7D7109" w14:textId="07B09207">
      <w:pPr>
        <w:spacing w:after="0" w:line="360" w:lineRule="auto"/>
        <w:ind w:left="0" w:right="0" w:firstLine="0"/>
        <w:rPr>
          <w:rFonts w:ascii="Book Antiqua" w:hAnsi="Book Antiqua"/>
        </w:rPr>
      </w:pPr>
      <w:r w:rsidRPr="00BB4E9B">
        <w:rPr>
          <w:rFonts w:ascii="Book Antiqua" w:hAnsi="Book Antiqua"/>
        </w:rPr>
        <w:t>a)</w:t>
      </w:r>
      <w:r w:rsidRPr="00BB4E9B" w:rsidR="006258C7">
        <w:t xml:space="preserve"> </w:t>
      </w:r>
      <w:r w:rsidRPr="00BB4E9B" w:rsidR="006258C7">
        <w:rPr>
          <w:rFonts w:ascii="Book Antiqua" w:hAnsi="Book Antiqua"/>
        </w:rPr>
        <w:t>Todos los tratamientos oncológicos producen este efecto secundario tan temido.</w:t>
      </w:r>
    </w:p>
    <w:p w:rsidRPr="00BB4E9B" w:rsidR="009938A9" w:rsidP="244DEC21" w:rsidRDefault="009938A9" w14:paraId="43661D6B" w14:textId="234EBA73">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Fármacos como el anticuerpo anti </w:t>
      </w:r>
      <w:r w:rsidRPr="244DEC21" w:rsidR="244DEC21">
        <w:rPr>
          <w:rFonts w:ascii="Book Antiqua" w:hAnsi="Book Antiqua"/>
          <w:lang w:val="es-ES"/>
        </w:rPr>
        <w:t>EGFR</w:t>
      </w:r>
      <w:r w:rsidRPr="244DEC21" w:rsidR="244DEC21">
        <w:rPr>
          <w:rFonts w:ascii="Book Antiqua" w:hAnsi="Book Antiqua"/>
          <w:lang w:val="es-ES"/>
        </w:rPr>
        <w:t xml:space="preserve">, cetuximab, los inhibidores pan </w:t>
      </w:r>
      <w:r w:rsidRPr="244DEC21" w:rsidR="244DEC21">
        <w:rPr>
          <w:rFonts w:ascii="Book Antiqua" w:hAnsi="Book Antiqua"/>
          <w:lang w:val="es-ES"/>
        </w:rPr>
        <w:t>kinasa</w:t>
      </w:r>
      <w:r w:rsidRPr="244DEC21" w:rsidR="244DEC21">
        <w:rPr>
          <w:rFonts w:ascii="Book Antiqua" w:hAnsi="Book Antiqua"/>
          <w:lang w:val="es-ES"/>
        </w:rPr>
        <w:t xml:space="preserve">, como sorafenib o </w:t>
      </w:r>
      <w:r w:rsidRPr="244DEC21" w:rsidR="244DEC21">
        <w:rPr>
          <w:rFonts w:ascii="Book Antiqua" w:hAnsi="Book Antiqua"/>
          <w:lang w:val="es-ES"/>
        </w:rPr>
        <w:t>sunitinib</w:t>
      </w:r>
      <w:r w:rsidRPr="244DEC21" w:rsidR="244DEC21">
        <w:rPr>
          <w:rFonts w:ascii="Book Antiqua" w:hAnsi="Book Antiqua"/>
          <w:lang w:val="es-ES"/>
        </w:rPr>
        <w:t xml:space="preserve"> o el inhibidor de ciclina dependiente de </w:t>
      </w:r>
      <w:r w:rsidRPr="244DEC21" w:rsidR="244DEC21">
        <w:rPr>
          <w:rFonts w:ascii="Book Antiqua" w:hAnsi="Book Antiqua"/>
          <w:lang w:val="es-ES"/>
        </w:rPr>
        <w:t>kinasas</w:t>
      </w:r>
      <w:r w:rsidRPr="244DEC21" w:rsidR="244DEC21">
        <w:rPr>
          <w:rFonts w:ascii="Book Antiqua" w:hAnsi="Book Antiqua"/>
          <w:lang w:val="es-ES"/>
        </w:rPr>
        <w:t xml:space="preserve"> 4 y 6, </w:t>
      </w:r>
      <w:r w:rsidRPr="244DEC21" w:rsidR="244DEC21">
        <w:rPr>
          <w:rFonts w:ascii="Book Antiqua" w:hAnsi="Book Antiqua"/>
          <w:lang w:val="es-ES"/>
        </w:rPr>
        <w:t>palbociclib</w:t>
      </w:r>
      <w:r w:rsidRPr="244DEC21" w:rsidR="244DEC21">
        <w:rPr>
          <w:rFonts w:ascii="Book Antiqua" w:hAnsi="Book Antiqua"/>
          <w:lang w:val="es-ES"/>
        </w:rPr>
        <w:t xml:space="preserve">, se asocian a la aparición de alopecia. </w:t>
      </w:r>
    </w:p>
    <w:p w:rsidRPr="00BB4E9B" w:rsidR="009938A9" w:rsidP="00084743" w:rsidRDefault="009938A9" w14:paraId="3F835FB9" w14:textId="673C053A">
      <w:pPr>
        <w:spacing w:after="240" w:line="360" w:lineRule="auto"/>
        <w:ind w:left="0" w:right="0" w:firstLine="0"/>
        <w:rPr>
          <w:rFonts w:ascii="Book Antiqua" w:hAnsi="Book Antiqua"/>
        </w:rPr>
      </w:pPr>
      <w:r w:rsidRPr="00BB4E9B">
        <w:rPr>
          <w:rFonts w:ascii="Book Antiqua" w:hAnsi="Book Antiqua"/>
        </w:rPr>
        <w:t>c)</w:t>
      </w:r>
      <w:r w:rsidRPr="00BB4E9B" w:rsidR="006258C7">
        <w:rPr>
          <w:rFonts w:ascii="Book Antiqua" w:hAnsi="Book Antiqua"/>
        </w:rPr>
        <w:t xml:space="preserve"> No se recomienda que se proteja el cuero cabelludo de agentes externos, como el sol o el frío.</w:t>
      </w:r>
    </w:p>
    <w:p w:rsidRPr="00BB4E9B" w:rsidR="009938A9" w:rsidP="244DEC21" w:rsidRDefault="009938A9" w14:paraId="2DFC0B7C" w14:textId="57319306" w14:noSpellErr="1">
      <w:pPr>
        <w:spacing w:before="360" w:after="0" w:line="360" w:lineRule="auto"/>
        <w:ind w:left="0" w:right="0" w:firstLine="0"/>
        <w:rPr>
          <w:rFonts w:ascii="Book Antiqua" w:hAnsi="Book Antiqua"/>
          <w:b w:val="1"/>
          <w:bCs w:val="1"/>
          <w:lang w:val="es-ES"/>
        </w:rPr>
      </w:pPr>
      <w:r w:rsidRPr="244DEC21" w:rsidR="244DEC21">
        <w:rPr>
          <w:rFonts w:ascii="Book Antiqua" w:hAnsi="Book Antiqua"/>
          <w:b w:val="1"/>
          <w:bCs w:val="1"/>
          <w:color w:val="FF0000"/>
          <w:lang w:val="es-ES"/>
        </w:rPr>
        <w:t>13</w:t>
      </w:r>
      <w:r w:rsidRPr="244DEC21" w:rsidR="244DEC21">
        <w:rPr>
          <w:rFonts w:ascii="Book Antiqua" w:hAnsi="Book Antiqua"/>
          <w:b w:val="1"/>
          <w:bCs w:val="1"/>
          <w:lang w:val="es-ES"/>
        </w:rPr>
        <w:t>.</w:t>
      </w:r>
      <w:r w:rsidRPr="244DEC21" w:rsidR="244DEC21">
        <w:rPr>
          <w:rFonts w:ascii="Book Antiqua" w:hAnsi="Book Antiqua"/>
          <w:b w:val="1"/>
          <w:bCs w:val="1"/>
          <w:lang w:val="es-ES"/>
        </w:rPr>
        <w:t xml:space="preserve"> En cuanto al </w:t>
      </w:r>
      <w:r w:rsidRPr="244DEC21" w:rsidR="244DEC21">
        <w:rPr>
          <w:rFonts w:ascii="Book Antiqua" w:hAnsi="Book Antiqua"/>
          <w:b w:val="1"/>
          <w:bCs w:val="1"/>
          <w:lang w:val="es-ES"/>
        </w:rPr>
        <w:t>rash</w:t>
      </w:r>
      <w:r w:rsidRPr="244DEC21" w:rsidR="244DEC21">
        <w:rPr>
          <w:rFonts w:ascii="Book Antiqua" w:hAnsi="Book Antiqua"/>
          <w:b w:val="1"/>
          <w:bCs w:val="1"/>
          <w:lang w:val="es-ES"/>
        </w:rPr>
        <w:t xml:space="preserve"> acneiforme, señala:</w:t>
      </w:r>
    </w:p>
    <w:p w:rsidRPr="00BB4E9B" w:rsidR="009938A9" w:rsidP="244DEC21" w:rsidRDefault="009938A9" w14:paraId="39514E44" w14:textId="1E539377">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lang w:val="es-ES"/>
        </w:rPr>
        <w:t xml:space="preserve"> </w:t>
      </w:r>
      <w:r w:rsidRPr="244DEC21" w:rsidR="244DEC21">
        <w:rPr>
          <w:rFonts w:ascii="Book Antiqua" w:hAnsi="Book Antiqua"/>
          <w:lang w:val="es-ES"/>
        </w:rPr>
        <w:t>Esta toxicidad está especialmente ligada a los fármacos que inhiben el receptor del factor de crecimiento epidérmico (</w:t>
      </w:r>
      <w:r w:rsidRPr="244DEC21" w:rsidR="244DEC21">
        <w:rPr>
          <w:rFonts w:ascii="Book Antiqua" w:hAnsi="Book Antiqua"/>
          <w:lang w:val="es-ES"/>
        </w:rPr>
        <w:t>EGFR</w:t>
      </w:r>
      <w:r w:rsidRPr="244DEC21" w:rsidR="244DEC21">
        <w:rPr>
          <w:rFonts w:ascii="Book Antiqua" w:hAnsi="Book Antiqua"/>
          <w:lang w:val="es-ES"/>
        </w:rPr>
        <w:t xml:space="preserve">), tales como </w:t>
      </w:r>
      <w:r w:rsidRPr="244DEC21" w:rsidR="244DEC21">
        <w:rPr>
          <w:rFonts w:ascii="Book Antiqua" w:hAnsi="Book Antiqua"/>
          <w:lang w:val="es-ES"/>
        </w:rPr>
        <w:t>erlotinib</w:t>
      </w:r>
      <w:r w:rsidRPr="244DEC21" w:rsidR="244DEC21">
        <w:rPr>
          <w:rFonts w:ascii="Book Antiqua" w:hAnsi="Book Antiqua"/>
          <w:lang w:val="es-ES"/>
        </w:rPr>
        <w:t xml:space="preserve">, </w:t>
      </w:r>
      <w:r w:rsidRPr="244DEC21" w:rsidR="244DEC21">
        <w:rPr>
          <w:rFonts w:ascii="Book Antiqua" w:hAnsi="Book Antiqua"/>
          <w:lang w:val="es-ES"/>
        </w:rPr>
        <w:t>gefitinib</w:t>
      </w:r>
      <w:r w:rsidRPr="244DEC21" w:rsidR="244DEC21">
        <w:rPr>
          <w:rFonts w:ascii="Book Antiqua" w:hAnsi="Book Antiqua"/>
          <w:lang w:val="es-ES"/>
        </w:rPr>
        <w:t xml:space="preserve"> o cetuximab. </w:t>
      </w:r>
    </w:p>
    <w:p w:rsidRPr="00BB4E9B" w:rsidR="009938A9" w:rsidP="244DEC21" w:rsidRDefault="009938A9" w14:paraId="7F3465B5" w14:textId="4C9CFD0A"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El tratamiento de este</w:t>
      </w:r>
      <w:r w:rsidRPr="244DEC21" w:rsidR="244DEC21">
        <w:rPr>
          <w:lang w:val="es-ES"/>
        </w:rPr>
        <w:t xml:space="preserve"> </w:t>
      </w:r>
      <w:r w:rsidRPr="244DEC21" w:rsidR="244DEC21">
        <w:rPr>
          <w:rFonts w:ascii="Book Antiqua" w:hAnsi="Book Antiqua"/>
          <w:lang w:val="es-ES"/>
        </w:rPr>
        <w:t>rash</w:t>
      </w:r>
      <w:r w:rsidRPr="244DEC21" w:rsidR="244DEC21">
        <w:rPr>
          <w:rFonts w:ascii="Book Antiqua" w:hAnsi="Book Antiqua"/>
          <w:lang w:val="es-ES"/>
        </w:rPr>
        <w:t xml:space="preserve"> debe evitar la administración de corticoides tópicos.</w:t>
      </w:r>
    </w:p>
    <w:p w:rsidRPr="00BB4E9B" w:rsidR="009938A9" w:rsidP="00084743" w:rsidRDefault="009938A9" w14:paraId="182EDD3F" w14:textId="48EEFBC4">
      <w:pPr>
        <w:spacing w:after="240" w:line="360" w:lineRule="auto"/>
        <w:ind w:left="0" w:right="0" w:firstLine="0"/>
        <w:rPr>
          <w:rFonts w:ascii="Book Antiqua" w:hAnsi="Book Antiqua"/>
        </w:rPr>
      </w:pPr>
      <w:r w:rsidRPr="00BB4E9B">
        <w:rPr>
          <w:rFonts w:ascii="Book Antiqua" w:hAnsi="Book Antiqua"/>
        </w:rPr>
        <w:t>c)</w:t>
      </w:r>
      <w:r w:rsidRPr="00BB4E9B" w:rsidR="006258C7">
        <w:t xml:space="preserve"> </w:t>
      </w:r>
      <w:r w:rsidRPr="00BB4E9B" w:rsidR="006258C7">
        <w:rPr>
          <w:rFonts w:ascii="Book Antiqua" w:hAnsi="Book Antiqua"/>
        </w:rPr>
        <w:t>En casos de signos de sobreinfección, nunca utilizar las tetraciclinas orales.</w:t>
      </w:r>
    </w:p>
    <w:p w:rsidRPr="00BB4E9B" w:rsidR="009938A9" w:rsidP="00084743" w:rsidRDefault="009938A9" w14:paraId="58EA838A" w14:textId="47C6E3DA">
      <w:pPr>
        <w:spacing w:before="360" w:after="0" w:line="360" w:lineRule="auto"/>
        <w:ind w:left="0" w:right="0" w:firstLine="0"/>
        <w:rPr>
          <w:rFonts w:ascii="Book Antiqua" w:hAnsi="Book Antiqua"/>
          <w:b/>
          <w:bCs/>
        </w:rPr>
      </w:pPr>
      <w:r w:rsidRPr="00BB4E9B">
        <w:rPr>
          <w:rFonts w:ascii="Book Antiqua" w:hAnsi="Book Antiqua"/>
          <w:b/>
          <w:bCs/>
          <w:color w:val="FF0000"/>
        </w:rPr>
        <w:t>14</w:t>
      </w:r>
      <w:r w:rsidRPr="00BB4E9B">
        <w:rPr>
          <w:rFonts w:ascii="Book Antiqua" w:hAnsi="Book Antiqua"/>
          <w:b/>
          <w:bCs/>
        </w:rPr>
        <w:t>.</w:t>
      </w:r>
      <w:r w:rsidRPr="00BB4E9B" w:rsidR="002E721A">
        <w:rPr>
          <w:rFonts w:ascii="Book Antiqua" w:hAnsi="Book Antiqua"/>
          <w:b/>
          <w:bCs/>
        </w:rPr>
        <w:t xml:space="preserve"> Acerca de la reacción mano pie</w:t>
      </w:r>
      <w:r w:rsidRPr="00BB4E9B" w:rsidR="00E17901">
        <w:rPr>
          <w:rFonts w:ascii="Book Antiqua" w:hAnsi="Book Antiqua"/>
          <w:b/>
          <w:bCs/>
        </w:rPr>
        <w:t>:</w:t>
      </w:r>
    </w:p>
    <w:p w:rsidRPr="00BB4E9B" w:rsidR="009938A9" w:rsidP="244DEC21" w:rsidRDefault="009938A9" w14:paraId="37C5342D" w14:textId="074CECDD" w14:noSpellErr="1">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lang w:val="es-ES"/>
        </w:rPr>
        <w:t xml:space="preserve"> </w:t>
      </w:r>
      <w:r w:rsidRPr="244DEC21" w:rsidR="244DEC21">
        <w:rPr>
          <w:rFonts w:ascii="Book Antiqua" w:hAnsi="Book Antiqua"/>
          <w:lang w:val="es-ES"/>
        </w:rPr>
        <w:t xml:space="preserve">Aparece típicamente en pacientes que reciben fármacos pan </w:t>
      </w:r>
      <w:r w:rsidRPr="244DEC21" w:rsidR="244DEC21">
        <w:rPr>
          <w:rFonts w:ascii="Book Antiqua" w:hAnsi="Book Antiqua"/>
          <w:lang w:val="es-ES"/>
        </w:rPr>
        <w:t>kinasas</w:t>
      </w:r>
      <w:r w:rsidRPr="244DEC21" w:rsidR="244DEC21">
        <w:rPr>
          <w:rFonts w:ascii="Book Antiqua" w:hAnsi="Book Antiqua"/>
          <w:lang w:val="es-ES"/>
        </w:rPr>
        <w:t xml:space="preserve">, como sorafenib, </w:t>
      </w:r>
      <w:r w:rsidRPr="244DEC21" w:rsidR="244DEC21">
        <w:rPr>
          <w:rFonts w:ascii="Book Antiqua" w:hAnsi="Book Antiqua"/>
          <w:lang w:val="es-ES"/>
        </w:rPr>
        <w:t>sunitinib</w:t>
      </w:r>
      <w:r w:rsidRPr="244DEC21" w:rsidR="244DEC21">
        <w:rPr>
          <w:rFonts w:ascii="Book Antiqua" w:hAnsi="Book Antiqua"/>
          <w:lang w:val="es-ES"/>
        </w:rPr>
        <w:t xml:space="preserve">, regorafenib o </w:t>
      </w:r>
      <w:r w:rsidRPr="244DEC21" w:rsidR="244DEC21">
        <w:rPr>
          <w:rFonts w:ascii="Book Antiqua" w:hAnsi="Book Antiqua"/>
          <w:lang w:val="es-ES"/>
        </w:rPr>
        <w:t>cabozantinib</w:t>
      </w:r>
      <w:r w:rsidRPr="244DEC21" w:rsidR="244DEC21">
        <w:rPr>
          <w:rFonts w:ascii="Book Antiqua" w:hAnsi="Book Antiqua"/>
          <w:lang w:val="es-ES"/>
        </w:rPr>
        <w:t xml:space="preserve">. </w:t>
      </w:r>
    </w:p>
    <w:p w:rsidRPr="00BB4E9B" w:rsidR="009938A9" w:rsidP="244DEC21" w:rsidRDefault="009938A9" w14:paraId="236F8388" w14:textId="6678A898"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rFonts w:ascii="Book Antiqua" w:hAnsi="Book Antiqua"/>
          <w:lang w:val="es-ES"/>
        </w:rPr>
        <w:t xml:space="preserve"> </w:t>
      </w:r>
      <w:r w:rsidRPr="244DEC21" w:rsidR="244DEC21">
        <w:rPr>
          <w:rFonts w:ascii="Book Antiqua" w:hAnsi="Book Antiqua"/>
          <w:lang w:val="es-ES"/>
        </w:rPr>
        <w:t xml:space="preserve">La reacción mano pie que aparece con los inhibidores pan </w:t>
      </w:r>
      <w:r w:rsidRPr="244DEC21" w:rsidR="244DEC21">
        <w:rPr>
          <w:rFonts w:ascii="Book Antiqua" w:hAnsi="Book Antiqua"/>
          <w:lang w:val="es-ES"/>
        </w:rPr>
        <w:t>kinasas</w:t>
      </w:r>
      <w:r w:rsidRPr="244DEC21" w:rsidR="244DEC21">
        <w:rPr>
          <w:rFonts w:ascii="Book Antiqua" w:hAnsi="Book Antiqua"/>
          <w:lang w:val="es-ES"/>
        </w:rPr>
        <w:t xml:space="preserve"> no es una localización parcheada y dolorosa de zonas de fricción o expuestas a pequeños traumatismos crónicos, como los talones o los laterales de las plantas de los pies.</w:t>
      </w:r>
    </w:p>
    <w:p w:rsidRPr="00BB4E9B" w:rsidR="009938A9" w:rsidP="00084743" w:rsidRDefault="009938A9" w14:paraId="0815C270" w14:textId="215EA1D8">
      <w:pPr>
        <w:spacing w:after="240" w:line="360" w:lineRule="auto"/>
        <w:ind w:left="0" w:right="0" w:firstLine="0"/>
        <w:rPr>
          <w:rFonts w:ascii="Book Antiqua" w:hAnsi="Book Antiqua"/>
        </w:rPr>
      </w:pPr>
      <w:r w:rsidRPr="59C2EBA6" w:rsidR="59C2EBA6">
        <w:rPr>
          <w:rFonts w:ascii="Book Antiqua" w:hAnsi="Book Antiqua"/>
        </w:rPr>
        <w:t>c)</w:t>
      </w:r>
      <w:r w:rsidRPr="59C2EBA6" w:rsidR="59C2EBA6">
        <w:rPr>
          <w:rFonts w:ascii="Book Antiqua" w:hAnsi="Book Antiqua"/>
        </w:rPr>
        <w:t xml:space="preserve"> Para cualquier característica del cuadro, sea leve, moderado o más severos, el tratamiento es siempre el mismo.</w:t>
      </w:r>
    </w:p>
    <w:p w:rsidR="59C2EBA6" w:rsidRDefault="59C2EBA6" w14:paraId="3B975136" w14:textId="5F009533">
      <w:r>
        <w:br w:type="page"/>
      </w:r>
    </w:p>
    <w:p w:rsidRPr="00BB4E9B" w:rsidR="009938A9" w:rsidP="00084743" w:rsidRDefault="009938A9" w14:paraId="45D107D9" w14:textId="6DD6DF16">
      <w:pPr>
        <w:spacing w:before="360" w:after="0" w:line="360" w:lineRule="auto"/>
        <w:ind w:left="0" w:right="0" w:firstLine="0"/>
        <w:rPr>
          <w:rFonts w:ascii="Book Antiqua" w:hAnsi="Book Antiqua"/>
          <w:b/>
          <w:bCs/>
        </w:rPr>
      </w:pPr>
      <w:r w:rsidRPr="00BB4E9B">
        <w:rPr>
          <w:rFonts w:ascii="Book Antiqua" w:hAnsi="Book Antiqua"/>
          <w:b/>
          <w:bCs/>
          <w:color w:val="FF0000"/>
        </w:rPr>
        <w:t>15</w:t>
      </w:r>
      <w:r w:rsidRPr="00BB4E9B">
        <w:rPr>
          <w:rFonts w:ascii="Book Antiqua" w:hAnsi="Book Antiqua"/>
          <w:b/>
          <w:bCs/>
        </w:rPr>
        <w:t>.</w:t>
      </w:r>
      <w:r w:rsidRPr="00BB4E9B" w:rsidR="00E032A5">
        <w:rPr>
          <w:rFonts w:ascii="Book Antiqua" w:hAnsi="Book Antiqua"/>
          <w:b/>
          <w:bCs/>
        </w:rPr>
        <w:t xml:space="preserve"> Otras afirmaciones con respecto a la fotosensibilidad y los tumores cutáneos son:</w:t>
      </w:r>
    </w:p>
    <w:p w:rsidRPr="00BB4E9B" w:rsidR="009938A9" w:rsidP="244DEC21" w:rsidRDefault="009938A9" w14:paraId="7F26DC68" w14:textId="3433BEA0" w14:noSpellErr="1">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rFonts w:ascii="Book Antiqua" w:hAnsi="Book Antiqua"/>
          <w:lang w:val="es-ES"/>
        </w:rPr>
        <w:t xml:space="preserve"> La fotosensibilidad no aparece en pacientes expuestos a fármacos como el </w:t>
      </w:r>
      <w:r w:rsidRPr="244DEC21" w:rsidR="244DEC21">
        <w:rPr>
          <w:rFonts w:ascii="Book Antiqua" w:hAnsi="Book Antiqua"/>
          <w:lang w:val="es-ES"/>
        </w:rPr>
        <w:t>metotrexate</w:t>
      </w:r>
      <w:r w:rsidRPr="244DEC21" w:rsidR="244DEC21">
        <w:rPr>
          <w:rFonts w:ascii="Book Antiqua" w:hAnsi="Book Antiqua"/>
          <w:lang w:val="es-ES"/>
        </w:rPr>
        <w:t>.</w:t>
      </w:r>
    </w:p>
    <w:p w:rsidRPr="00BB4E9B" w:rsidR="009938A9" w:rsidP="00084743" w:rsidRDefault="009938A9" w14:paraId="10E2740D" w14:textId="2D278957">
      <w:pPr>
        <w:spacing w:after="0" w:line="360" w:lineRule="auto"/>
        <w:ind w:left="0" w:right="0" w:firstLine="0"/>
        <w:rPr>
          <w:rFonts w:ascii="Book Antiqua" w:hAnsi="Book Antiqua"/>
        </w:rPr>
      </w:pPr>
      <w:r w:rsidRPr="00BB4E9B">
        <w:rPr>
          <w:rFonts w:ascii="Book Antiqua" w:hAnsi="Book Antiqua"/>
        </w:rPr>
        <w:t>b)</w:t>
      </w:r>
      <w:r w:rsidRPr="00BB4E9B" w:rsidR="00E032A5">
        <w:t xml:space="preserve"> </w:t>
      </w:r>
      <w:r w:rsidRPr="00BB4E9B" w:rsidR="00E032A5">
        <w:rPr>
          <w:rFonts w:ascii="Book Antiqua" w:hAnsi="Book Antiqua"/>
        </w:rPr>
        <w:t xml:space="preserve">Es recomendable, en estos casos, aconsejar a los pacientes no exponerse a la luz solar directa, utilizar fotoprotectores siempre que salgan a la calle, así como el uso de gorros y gafas de sol. </w:t>
      </w:r>
    </w:p>
    <w:p w:rsidRPr="00BB4E9B" w:rsidR="009938A9" w:rsidP="00084743" w:rsidRDefault="009938A9" w14:paraId="5A8ACA59" w14:textId="3CDBCE47">
      <w:pPr>
        <w:spacing w:after="0" w:line="360" w:lineRule="auto"/>
        <w:ind w:left="0" w:right="0" w:firstLine="0"/>
        <w:rPr>
          <w:rFonts w:ascii="Book Antiqua" w:hAnsi="Book Antiqua"/>
        </w:rPr>
      </w:pPr>
      <w:r w:rsidRPr="59C2EBA6" w:rsidR="59C2EBA6">
        <w:rPr>
          <w:rFonts w:ascii="Book Antiqua" w:hAnsi="Book Antiqua"/>
        </w:rPr>
        <w:t>c)</w:t>
      </w:r>
      <w:r w:rsidRPr="59C2EBA6" w:rsidR="59C2EBA6">
        <w:rPr>
          <w:rFonts w:ascii="Book Antiqua" w:hAnsi="Book Antiqua"/>
        </w:rPr>
        <w:t xml:space="preserve"> En caso de un tumor escamoso de nueva aparición, el tratamiento es con radioterapia.</w:t>
      </w:r>
    </w:p>
    <w:p w:rsidR="59C2EBA6" w:rsidP="59C2EBA6" w:rsidRDefault="59C2EBA6" w14:paraId="5CCBA1F5" w14:textId="5AE7C222">
      <w:pPr>
        <w:pStyle w:val="Normal"/>
        <w:spacing w:before="0" w:after="0" w:line="240" w:lineRule="auto"/>
        <w:ind w:left="0" w:right="0" w:firstLine="0"/>
        <w:jc w:val="left"/>
        <w:rPr>
          <w:rFonts w:ascii="Book Antiqua" w:hAnsi="Book Antiqua"/>
          <w:b w:val="1"/>
          <w:bCs w:val="1"/>
          <w:color w:val="FF0000"/>
        </w:rPr>
      </w:pPr>
    </w:p>
    <w:p w:rsidRPr="00BB4E9B" w:rsidR="009938A9" w:rsidP="59C2EBA6" w:rsidRDefault="009938A9" w14:paraId="198197F1" w14:textId="27FBE59B">
      <w:pPr>
        <w:pStyle w:val="Normal"/>
        <w:spacing w:before="0" w:after="0" w:line="240" w:lineRule="auto"/>
        <w:ind w:left="0" w:right="0" w:firstLine="0"/>
        <w:jc w:val="left"/>
        <w:rPr>
          <w:rFonts w:ascii="Book Antiqua" w:hAnsi="Book Antiqua"/>
          <w:b w:val="1"/>
          <w:bCs w:val="1"/>
        </w:rPr>
      </w:pPr>
      <w:r w:rsidRPr="59C2EBA6" w:rsidR="59C2EBA6">
        <w:rPr>
          <w:rFonts w:ascii="Book Antiqua" w:hAnsi="Book Antiqua"/>
          <w:b w:val="1"/>
          <w:bCs w:val="1"/>
          <w:color w:val="FF0000"/>
        </w:rPr>
        <w:t>16</w:t>
      </w:r>
      <w:r w:rsidRPr="59C2EBA6" w:rsidR="59C2EBA6">
        <w:rPr>
          <w:rFonts w:ascii="Book Antiqua" w:hAnsi="Book Antiqua"/>
          <w:b w:val="1"/>
          <w:bCs w:val="1"/>
        </w:rPr>
        <w:t>. Con relación a la anemia, subrayan:</w:t>
      </w:r>
    </w:p>
    <w:p w:rsidRPr="00BB4E9B" w:rsidR="009938A9" w:rsidP="00084743" w:rsidRDefault="009938A9" w14:paraId="1BAEC9B3" w14:textId="6BD9414B">
      <w:pPr>
        <w:spacing w:after="0" w:line="360" w:lineRule="auto"/>
        <w:ind w:left="0" w:right="0" w:firstLine="0"/>
        <w:rPr>
          <w:rFonts w:ascii="Book Antiqua" w:hAnsi="Book Antiqua"/>
        </w:rPr>
      </w:pPr>
      <w:r w:rsidRPr="00BB4E9B">
        <w:rPr>
          <w:rFonts w:ascii="Book Antiqua" w:hAnsi="Book Antiqua"/>
        </w:rPr>
        <w:t>a)</w:t>
      </w:r>
      <w:r w:rsidRPr="00BB4E9B" w:rsidR="00E032A5">
        <w:rPr>
          <w:rFonts w:ascii="Book Antiqua" w:hAnsi="Book Antiqua"/>
        </w:rPr>
        <w:t xml:space="preserve"> El sangrado a nivel tumoral no es una causa de anemia.</w:t>
      </w:r>
    </w:p>
    <w:p w:rsidRPr="00BB4E9B" w:rsidR="009938A9" w:rsidP="00084743" w:rsidRDefault="009938A9" w14:paraId="1B7CA701" w14:textId="60CCAB24">
      <w:pPr>
        <w:spacing w:after="0" w:line="360" w:lineRule="auto"/>
        <w:ind w:left="0" w:right="0" w:firstLine="0"/>
        <w:rPr>
          <w:rFonts w:ascii="Book Antiqua" w:hAnsi="Book Antiqua"/>
        </w:rPr>
      </w:pPr>
      <w:r w:rsidRPr="00BB4E9B">
        <w:rPr>
          <w:rFonts w:ascii="Book Antiqua" w:hAnsi="Book Antiqua"/>
        </w:rPr>
        <w:t>b)</w:t>
      </w:r>
      <w:r w:rsidRPr="00BB4E9B" w:rsidR="00E032A5">
        <w:t xml:space="preserve"> </w:t>
      </w:r>
      <w:r w:rsidRPr="00BB4E9B" w:rsidR="00E032A5">
        <w:rPr>
          <w:rFonts w:ascii="Book Antiqua" w:hAnsi="Book Antiqua"/>
        </w:rPr>
        <w:t xml:space="preserve">En el caso de los pacientes oncológicos es clave porque la sintomatología que lleva asociada puede empeorar la calidad de vida del paciente, puede detener el tratamiento oncológico y se considera un factor de mal pronóstico per se en numerosos tumores. </w:t>
      </w:r>
    </w:p>
    <w:p w:rsidRPr="00BB4E9B" w:rsidR="009938A9" w:rsidP="00084743" w:rsidRDefault="009938A9" w14:paraId="181F9613" w14:textId="6FA7B09A">
      <w:pPr>
        <w:spacing w:after="0" w:line="360" w:lineRule="auto"/>
        <w:ind w:left="0" w:right="0" w:firstLine="0"/>
        <w:rPr>
          <w:rFonts w:ascii="Book Antiqua" w:hAnsi="Book Antiqua"/>
        </w:rPr>
      </w:pPr>
      <w:r w:rsidRPr="00BB4E9B">
        <w:rPr>
          <w:rFonts w:ascii="Book Antiqua" w:hAnsi="Book Antiqua"/>
        </w:rPr>
        <w:t>c)</w:t>
      </w:r>
      <w:r w:rsidRPr="00BB4E9B" w:rsidR="00E032A5">
        <w:rPr>
          <w:rFonts w:ascii="Book Antiqua" w:hAnsi="Book Antiqua"/>
        </w:rPr>
        <w:t xml:space="preserve"> El uso de eritropoyetina </w:t>
      </w:r>
      <w:r w:rsidRPr="00BB4E9B" w:rsidR="006144A3">
        <w:rPr>
          <w:rFonts w:ascii="Book Antiqua" w:hAnsi="Book Antiqua"/>
        </w:rPr>
        <w:t>no aumenta</w:t>
      </w:r>
      <w:r w:rsidRPr="00BB4E9B" w:rsidR="00E032A5">
        <w:rPr>
          <w:rFonts w:ascii="Book Antiqua" w:hAnsi="Book Antiqua"/>
        </w:rPr>
        <w:t xml:space="preserve"> el riesgo de trombosis arterial</w:t>
      </w:r>
      <w:r w:rsidRPr="00BB4E9B" w:rsidR="006144A3">
        <w:rPr>
          <w:rFonts w:ascii="Book Antiqua" w:hAnsi="Book Antiqua"/>
        </w:rPr>
        <w:t xml:space="preserve"> ni el</w:t>
      </w:r>
      <w:r w:rsidRPr="00BB4E9B" w:rsidR="00E032A5">
        <w:rPr>
          <w:rFonts w:ascii="Book Antiqua" w:hAnsi="Book Antiqua"/>
        </w:rPr>
        <w:t xml:space="preserve"> de hipertensión</w:t>
      </w:r>
      <w:r w:rsidRPr="00BB4E9B" w:rsidR="006144A3">
        <w:rPr>
          <w:rFonts w:ascii="Book Antiqua" w:hAnsi="Book Antiqua"/>
        </w:rPr>
        <w:t>.</w:t>
      </w:r>
    </w:p>
    <w:p w:rsidRPr="00BB4E9B" w:rsidR="009938A9" w:rsidP="00084743" w:rsidRDefault="009938A9" w14:paraId="0ECD2009" w14:textId="02D05CF9">
      <w:pPr>
        <w:spacing w:before="360" w:line="360" w:lineRule="auto"/>
        <w:ind w:left="0" w:right="0" w:firstLine="0"/>
        <w:rPr>
          <w:rFonts w:ascii="Book Antiqua" w:hAnsi="Book Antiqua"/>
          <w:b/>
          <w:bCs/>
        </w:rPr>
      </w:pPr>
      <w:r w:rsidRPr="00BB4E9B">
        <w:rPr>
          <w:rFonts w:ascii="Book Antiqua" w:hAnsi="Book Antiqua"/>
          <w:b/>
          <w:bCs/>
          <w:color w:val="FF0000"/>
        </w:rPr>
        <w:t>17</w:t>
      </w:r>
      <w:r w:rsidRPr="00BB4E9B">
        <w:rPr>
          <w:rFonts w:ascii="Book Antiqua" w:hAnsi="Book Antiqua"/>
          <w:b/>
          <w:bCs/>
        </w:rPr>
        <w:t>.</w:t>
      </w:r>
      <w:r w:rsidRPr="00BB4E9B" w:rsidR="00595B7C">
        <w:rPr>
          <w:rFonts w:ascii="Book Antiqua" w:hAnsi="Book Antiqua"/>
          <w:b/>
          <w:bCs/>
        </w:rPr>
        <w:t xml:space="preserve"> La neutropenia:</w:t>
      </w:r>
    </w:p>
    <w:p w:rsidRPr="00BB4E9B" w:rsidR="009938A9" w:rsidP="00084743" w:rsidRDefault="009938A9" w14:paraId="6E52B788" w14:textId="26CE6A6F">
      <w:pPr>
        <w:spacing w:after="0" w:line="360" w:lineRule="auto"/>
        <w:ind w:left="0" w:right="0" w:firstLine="0"/>
        <w:rPr>
          <w:rFonts w:ascii="Book Antiqua" w:hAnsi="Book Antiqua"/>
        </w:rPr>
      </w:pPr>
      <w:r w:rsidRPr="00BB4E9B">
        <w:rPr>
          <w:rFonts w:ascii="Book Antiqua" w:hAnsi="Book Antiqua"/>
        </w:rPr>
        <w:t>a)</w:t>
      </w:r>
      <w:r w:rsidRPr="00BB4E9B" w:rsidR="00595B7C">
        <w:rPr>
          <w:rFonts w:ascii="Book Antiqua" w:hAnsi="Book Antiqua"/>
        </w:rPr>
        <w:t xml:space="preserve"> Al disminuir la cifra de neutrófilos, el riesgo de la aparición de cuadros infecciosos aumenta, ya que los pacientes no cuentan con los elementos suficientes como para responder frente a patógenos externos. </w:t>
      </w:r>
    </w:p>
    <w:p w:rsidRPr="00BB4E9B" w:rsidR="009938A9" w:rsidP="244DEC21" w:rsidRDefault="009938A9" w14:paraId="7657DA6F" w14:textId="7506074B"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lang w:val="es-ES"/>
        </w:rPr>
        <w:t xml:space="preserve"> </w:t>
      </w:r>
      <w:r w:rsidRPr="244DEC21" w:rsidR="244DEC21">
        <w:rPr>
          <w:rFonts w:ascii="Book Antiqua" w:hAnsi="Book Antiqua"/>
          <w:lang w:val="es-ES"/>
        </w:rPr>
        <w:t>Se define como la disminución en la cifra de los neutrófilos por debajo de 500-700 neutrófilos/</w:t>
      </w:r>
      <w:r w:rsidRPr="244DEC21" w:rsidR="244DEC21">
        <w:rPr>
          <w:rFonts w:ascii="Book Antiqua" w:hAnsi="Book Antiqua"/>
          <w:lang w:val="es-ES"/>
        </w:rPr>
        <w:t>micromol</w:t>
      </w:r>
      <w:r w:rsidRPr="244DEC21" w:rsidR="244DEC21">
        <w:rPr>
          <w:rFonts w:ascii="Book Antiqua" w:hAnsi="Book Antiqua"/>
          <w:lang w:val="es-ES"/>
        </w:rPr>
        <w:t>.</w:t>
      </w:r>
    </w:p>
    <w:p w:rsidRPr="00BB4E9B" w:rsidR="009938A9" w:rsidP="244DEC21" w:rsidRDefault="009938A9" w14:paraId="2363C23F" w14:textId="4318DF1A" w14:noSpellErr="1">
      <w:pPr>
        <w:spacing w:after="240" w:line="360" w:lineRule="auto"/>
        <w:ind w:left="0" w:right="0" w:firstLine="0"/>
        <w:rPr>
          <w:rFonts w:ascii="Book Antiqua" w:hAnsi="Book Antiqua"/>
          <w:lang w:val="es-ES"/>
        </w:rPr>
      </w:pPr>
      <w:r w:rsidRPr="59C2EBA6" w:rsidR="59C2EBA6">
        <w:rPr>
          <w:rFonts w:ascii="Book Antiqua" w:hAnsi="Book Antiqua"/>
          <w:lang w:val="es-ES"/>
        </w:rPr>
        <w:t>c)</w:t>
      </w:r>
      <w:r w:rsidRPr="59C2EBA6" w:rsidR="59C2EBA6">
        <w:rPr>
          <w:rFonts w:ascii="Book Antiqua" w:hAnsi="Book Antiqua"/>
          <w:lang w:val="es-ES"/>
        </w:rPr>
        <w:t xml:space="preserve"> Son muchos los fármacos clásicos que pueden provocar una disminución en la cifra de neutrófilos, entre los que no están: </w:t>
      </w:r>
      <w:r w:rsidRPr="59C2EBA6" w:rsidR="59C2EBA6">
        <w:rPr>
          <w:rFonts w:ascii="Book Antiqua" w:hAnsi="Book Antiqua"/>
          <w:lang w:val="es-ES"/>
        </w:rPr>
        <w:t>doxorubicina</w:t>
      </w:r>
      <w:r w:rsidRPr="59C2EBA6" w:rsidR="59C2EBA6">
        <w:rPr>
          <w:rFonts w:ascii="Book Antiqua" w:hAnsi="Book Antiqua"/>
          <w:lang w:val="es-ES"/>
        </w:rPr>
        <w:t xml:space="preserve"> y </w:t>
      </w:r>
      <w:r w:rsidRPr="59C2EBA6" w:rsidR="59C2EBA6">
        <w:rPr>
          <w:rFonts w:ascii="Book Antiqua" w:hAnsi="Book Antiqua"/>
          <w:lang w:val="es-ES"/>
        </w:rPr>
        <w:t>busulfán</w:t>
      </w:r>
      <w:r w:rsidRPr="59C2EBA6" w:rsidR="59C2EBA6">
        <w:rPr>
          <w:rFonts w:ascii="Book Antiqua" w:hAnsi="Book Antiqua"/>
          <w:lang w:val="es-ES"/>
        </w:rPr>
        <w:t>.</w:t>
      </w:r>
    </w:p>
    <w:p w:rsidR="59C2EBA6" w:rsidRDefault="59C2EBA6" w14:paraId="3AEC2269" w14:textId="4B55561B">
      <w:r>
        <w:br w:type="page"/>
      </w:r>
    </w:p>
    <w:p w:rsidRPr="00BB4E9B" w:rsidR="009938A9" w:rsidP="00084743" w:rsidRDefault="009938A9" w14:paraId="451FB058" w14:textId="7EF42ADA">
      <w:pPr>
        <w:spacing w:before="360" w:after="0" w:line="360" w:lineRule="auto"/>
        <w:ind w:left="0" w:right="0" w:firstLine="0"/>
        <w:rPr>
          <w:rFonts w:ascii="Book Antiqua" w:hAnsi="Book Antiqua"/>
          <w:b/>
          <w:bCs/>
        </w:rPr>
      </w:pPr>
      <w:r w:rsidRPr="00BB4E9B">
        <w:rPr>
          <w:rFonts w:ascii="Book Antiqua" w:hAnsi="Book Antiqua"/>
          <w:b/>
          <w:bCs/>
          <w:color w:val="FF0000"/>
        </w:rPr>
        <w:t>18</w:t>
      </w:r>
      <w:r w:rsidRPr="00BB4E9B">
        <w:rPr>
          <w:rFonts w:ascii="Book Antiqua" w:hAnsi="Book Antiqua"/>
          <w:b/>
          <w:bCs/>
        </w:rPr>
        <w:t>.</w:t>
      </w:r>
      <w:r w:rsidRPr="00BB4E9B" w:rsidR="00595B7C">
        <w:rPr>
          <w:rFonts w:ascii="Book Antiqua" w:hAnsi="Book Antiqua"/>
          <w:b/>
          <w:bCs/>
        </w:rPr>
        <w:t xml:space="preserve"> Otras afirmaciones en este tema son:</w:t>
      </w:r>
    </w:p>
    <w:p w:rsidRPr="00BB4E9B" w:rsidR="009938A9" w:rsidP="00084743" w:rsidRDefault="009938A9" w14:paraId="6BBD086B" w14:textId="12C2FE9B">
      <w:pPr>
        <w:spacing w:after="0" w:line="360" w:lineRule="auto"/>
        <w:ind w:left="0" w:right="0" w:firstLine="0"/>
        <w:rPr>
          <w:rFonts w:ascii="Book Antiqua" w:hAnsi="Book Antiqua"/>
        </w:rPr>
      </w:pPr>
      <w:r w:rsidRPr="00BB4E9B">
        <w:rPr>
          <w:rFonts w:ascii="Book Antiqua" w:hAnsi="Book Antiqua"/>
        </w:rPr>
        <w:t>a)</w:t>
      </w:r>
      <w:r w:rsidRPr="00BB4E9B" w:rsidR="00595B7C">
        <w:rPr>
          <w:rFonts w:ascii="Book Antiqua" w:hAnsi="Book Antiqua"/>
        </w:rPr>
        <w:t xml:space="preserve"> En aquellos casos de pacientes de bajo riesgo, la utilización de antibióticos orales, tales como las quinolonas en monoterapia o en combinación con otros antibióticos, como Amoxicilina clavulánico, no es nada recomendable.</w:t>
      </w:r>
    </w:p>
    <w:p w:rsidRPr="00BB4E9B" w:rsidR="009938A9" w:rsidP="00084743" w:rsidRDefault="009938A9" w14:paraId="4DF8D2A7" w14:textId="58701E38">
      <w:pPr>
        <w:spacing w:after="0" w:line="360" w:lineRule="auto"/>
        <w:ind w:left="0" w:right="0" w:firstLine="0"/>
        <w:rPr>
          <w:rFonts w:ascii="Book Antiqua" w:hAnsi="Book Antiqua"/>
        </w:rPr>
      </w:pPr>
      <w:r w:rsidRPr="00BB4E9B">
        <w:rPr>
          <w:rFonts w:ascii="Book Antiqua" w:hAnsi="Book Antiqua"/>
        </w:rPr>
        <w:t>b)</w:t>
      </w:r>
      <w:r w:rsidRPr="00BB4E9B" w:rsidR="00595B7C">
        <w:rPr>
          <w:rFonts w:ascii="Book Antiqua" w:hAnsi="Book Antiqua"/>
        </w:rPr>
        <w:t xml:space="preserve"> </w:t>
      </w:r>
      <w:r w:rsidRPr="00BB4E9B" w:rsidR="0025484B">
        <w:rPr>
          <w:rFonts w:ascii="Book Antiqua" w:hAnsi="Book Antiqua"/>
        </w:rPr>
        <w:t>En pacientes de alto riesgo, dentro de los antibióticos de primera elección se encontrarían solo los betalactámicos (Piperacilina Tazobactam).</w:t>
      </w:r>
    </w:p>
    <w:p w:rsidRPr="00BB4E9B" w:rsidR="009938A9" w:rsidP="00084743" w:rsidRDefault="009938A9" w14:paraId="5DB62C27" w14:textId="57D5DC72">
      <w:pPr>
        <w:spacing w:after="240" w:line="360" w:lineRule="auto"/>
        <w:ind w:left="0" w:right="0" w:firstLine="0"/>
        <w:rPr>
          <w:rFonts w:ascii="Book Antiqua" w:hAnsi="Book Antiqua"/>
        </w:rPr>
      </w:pPr>
      <w:r w:rsidRPr="00BB4E9B">
        <w:rPr>
          <w:rFonts w:ascii="Book Antiqua" w:hAnsi="Book Antiqua"/>
        </w:rPr>
        <w:t>c)</w:t>
      </w:r>
      <w:r w:rsidRPr="00BB4E9B" w:rsidR="00595B7C">
        <w:t xml:space="preserve"> </w:t>
      </w:r>
      <w:r w:rsidRPr="00BB4E9B" w:rsidR="00595B7C">
        <w:rPr>
          <w:rFonts w:ascii="Book Antiqua" w:hAnsi="Book Antiqua"/>
        </w:rPr>
        <w:t xml:space="preserve">En estos pacientes, la aparición de fiebre puede ser el primer síntoma de una infección grave que ponga en riesgo la vida del paciente, por lo que hay que extremar precauciones. </w:t>
      </w:r>
    </w:p>
    <w:p w:rsidRPr="00BB4E9B" w:rsidR="009938A9" w:rsidP="00084743" w:rsidRDefault="009938A9" w14:paraId="30C8CC0E" w14:textId="7A1A2465">
      <w:pPr>
        <w:spacing w:before="360" w:after="0" w:line="360" w:lineRule="auto"/>
        <w:ind w:left="0" w:right="0" w:firstLine="0"/>
        <w:rPr>
          <w:rFonts w:ascii="Book Antiqua" w:hAnsi="Book Antiqua"/>
          <w:b/>
          <w:bCs/>
        </w:rPr>
      </w:pPr>
      <w:r w:rsidRPr="00BB4E9B">
        <w:rPr>
          <w:rFonts w:ascii="Book Antiqua" w:hAnsi="Book Antiqua"/>
          <w:b/>
          <w:bCs/>
          <w:color w:val="FF0000"/>
        </w:rPr>
        <w:t>19</w:t>
      </w:r>
      <w:r w:rsidRPr="00BB4E9B">
        <w:rPr>
          <w:rFonts w:ascii="Book Antiqua" w:hAnsi="Book Antiqua"/>
          <w:b/>
          <w:bCs/>
        </w:rPr>
        <w:t>.</w:t>
      </w:r>
      <w:r w:rsidRPr="00BB4E9B" w:rsidR="00875183">
        <w:rPr>
          <w:rFonts w:ascii="Book Antiqua" w:hAnsi="Book Antiqua"/>
          <w:b/>
          <w:bCs/>
        </w:rPr>
        <w:t xml:space="preserve"> Asimismo, afirma:</w:t>
      </w:r>
    </w:p>
    <w:p w:rsidRPr="00BB4E9B" w:rsidR="009938A9" w:rsidP="00084743" w:rsidRDefault="009938A9" w14:paraId="2249008A" w14:textId="4276DD20">
      <w:pPr>
        <w:spacing w:after="0" w:line="360" w:lineRule="auto"/>
        <w:ind w:left="0" w:right="0" w:firstLine="0"/>
        <w:rPr>
          <w:rFonts w:ascii="Book Antiqua" w:hAnsi="Book Antiqua"/>
        </w:rPr>
      </w:pPr>
      <w:r w:rsidRPr="00BB4E9B">
        <w:rPr>
          <w:rFonts w:ascii="Book Antiqua" w:hAnsi="Book Antiqua"/>
        </w:rPr>
        <w:t>a)</w:t>
      </w:r>
      <w:r w:rsidRPr="00BB4E9B" w:rsidR="00875183">
        <w:rPr>
          <w:rFonts w:ascii="Book Antiqua" w:hAnsi="Book Antiqua"/>
        </w:rPr>
        <w:t xml:space="preserve"> En determinadas situaciones clínicas, como la inestabilidad dinámica, la alteración del nivel de conciencia, entre otros, se recomienda que el esquema inicial de tratamiento sea la combinación de antibióticos, añadiendo a los fármacos de primera elección otros, tales como la vancomicina, las quinolonas o los aminoglucósidos. </w:t>
      </w:r>
    </w:p>
    <w:p w:rsidRPr="00BB4E9B" w:rsidR="009938A9" w:rsidP="00084743" w:rsidRDefault="009938A9" w14:paraId="65A68499" w14:textId="7EED132C">
      <w:pPr>
        <w:spacing w:after="0" w:line="360" w:lineRule="auto"/>
        <w:ind w:left="0" w:right="0" w:firstLine="0"/>
        <w:rPr>
          <w:rFonts w:ascii="Book Antiqua" w:hAnsi="Book Antiqua"/>
        </w:rPr>
      </w:pPr>
      <w:r w:rsidRPr="00BB4E9B">
        <w:rPr>
          <w:rFonts w:ascii="Book Antiqua" w:hAnsi="Book Antiqua"/>
        </w:rPr>
        <w:lastRenderedPageBreak/>
        <w:t>b)</w:t>
      </w:r>
      <w:r w:rsidRPr="00BB4E9B" w:rsidR="00875183">
        <w:rPr>
          <w:rFonts w:ascii="Book Antiqua" w:hAnsi="Book Antiqua"/>
        </w:rPr>
        <w:t xml:space="preserve"> </w:t>
      </w:r>
      <w:r w:rsidRPr="00BB4E9B" w:rsidR="00DC2AF6">
        <w:rPr>
          <w:rFonts w:ascii="Book Antiqua" w:hAnsi="Book Antiqua"/>
        </w:rPr>
        <w:t>El uso de estimulantes de colonias (G-CSF) en el tratamiento de pacientes con neutropenia febril es recomendado en todas las situaciones y por todas las organizaciones y guías.</w:t>
      </w:r>
    </w:p>
    <w:p w:rsidRPr="00BB4E9B" w:rsidR="009938A9" w:rsidP="00084743" w:rsidRDefault="009938A9" w14:paraId="4039D2F3" w14:textId="6C9A725D">
      <w:pPr>
        <w:spacing w:after="240" w:line="360" w:lineRule="auto"/>
        <w:ind w:left="0" w:right="0" w:firstLine="0"/>
        <w:rPr>
          <w:rFonts w:ascii="Book Antiqua" w:hAnsi="Book Antiqua"/>
        </w:rPr>
      </w:pPr>
      <w:r w:rsidRPr="00BB4E9B">
        <w:rPr>
          <w:rFonts w:ascii="Book Antiqua" w:hAnsi="Book Antiqua"/>
        </w:rPr>
        <w:t>c)</w:t>
      </w:r>
      <w:r w:rsidRPr="00BB4E9B" w:rsidR="00DC2AF6">
        <w:rPr>
          <w:rFonts w:ascii="Book Antiqua" w:hAnsi="Book Antiqua"/>
        </w:rPr>
        <w:t xml:space="preserve"> Tanto las guías oncológicas americanas y europeas no aconsejan el uso de colonias G-CSF en pacientes que presenten factores de riesgo tales como edad mayor a 65 años.</w:t>
      </w:r>
    </w:p>
    <w:p w:rsidRPr="00BB4E9B" w:rsidR="009938A9" w:rsidP="00084743" w:rsidRDefault="009938A9" w14:paraId="055E874D" w14:textId="37D3892F">
      <w:pPr>
        <w:spacing w:before="360" w:after="0" w:line="360" w:lineRule="auto"/>
        <w:ind w:left="0" w:right="0" w:firstLine="0"/>
        <w:rPr>
          <w:rFonts w:ascii="Book Antiqua" w:hAnsi="Book Antiqua"/>
          <w:b/>
          <w:bCs/>
        </w:rPr>
      </w:pPr>
      <w:r w:rsidRPr="00BB4E9B">
        <w:rPr>
          <w:rFonts w:ascii="Book Antiqua" w:hAnsi="Book Antiqua"/>
          <w:b/>
          <w:bCs/>
          <w:color w:val="FF0000"/>
        </w:rPr>
        <w:t>20</w:t>
      </w:r>
      <w:r w:rsidRPr="00BB4E9B">
        <w:rPr>
          <w:rFonts w:ascii="Book Antiqua" w:hAnsi="Book Antiqua"/>
          <w:b/>
          <w:bCs/>
        </w:rPr>
        <w:t>.</w:t>
      </w:r>
      <w:r w:rsidRPr="00BB4E9B" w:rsidR="008C0365">
        <w:rPr>
          <w:rFonts w:ascii="Book Antiqua" w:hAnsi="Book Antiqua"/>
          <w:b/>
          <w:bCs/>
        </w:rPr>
        <w:t xml:space="preserve"> La trombocitopenia:</w:t>
      </w:r>
    </w:p>
    <w:p w:rsidRPr="00BB4E9B" w:rsidR="009938A9" w:rsidP="244DEC21" w:rsidRDefault="009938A9" w14:paraId="16795257" w14:textId="4472092F" w14:noSpellErr="1">
      <w:pPr>
        <w:spacing w:after="0" w:line="360" w:lineRule="auto"/>
        <w:ind w:left="0" w:right="0" w:firstLine="0"/>
        <w:rPr>
          <w:rFonts w:ascii="Book Antiqua" w:hAnsi="Book Antiqua"/>
          <w:lang w:val="es-ES"/>
        </w:rPr>
      </w:pPr>
      <w:r w:rsidRPr="244DEC21" w:rsidR="244DEC21">
        <w:rPr>
          <w:rFonts w:ascii="Book Antiqua" w:hAnsi="Book Antiqua"/>
          <w:lang w:val="es-ES"/>
        </w:rPr>
        <w:t>a)</w:t>
      </w:r>
      <w:r w:rsidRPr="244DEC21" w:rsidR="244DEC21">
        <w:rPr>
          <w:rFonts w:ascii="Book Antiqua" w:hAnsi="Book Antiqua"/>
          <w:lang w:val="es-ES"/>
        </w:rPr>
        <w:t xml:space="preserve"> En los pacientes que reciben tratamiento oncológico es siempre </w:t>
      </w:r>
      <w:r w:rsidRPr="244DEC21" w:rsidR="244DEC21">
        <w:rPr>
          <w:rFonts w:ascii="Book Antiqua" w:hAnsi="Book Antiqua"/>
          <w:lang w:val="es-ES"/>
        </w:rPr>
        <w:t>unifactorial</w:t>
      </w:r>
      <w:r w:rsidRPr="244DEC21" w:rsidR="244DEC21">
        <w:rPr>
          <w:rFonts w:ascii="Book Antiqua" w:hAnsi="Book Antiqua"/>
          <w:lang w:val="es-ES"/>
        </w:rPr>
        <w:t xml:space="preserve">. </w:t>
      </w:r>
    </w:p>
    <w:p w:rsidRPr="00BB4E9B" w:rsidR="009938A9" w:rsidP="00084743" w:rsidRDefault="009938A9" w14:paraId="4758A461" w14:textId="650DFB0D">
      <w:pPr>
        <w:spacing w:after="0" w:line="360" w:lineRule="auto"/>
        <w:ind w:left="0" w:right="0" w:firstLine="0"/>
        <w:rPr>
          <w:rFonts w:ascii="Book Antiqua" w:hAnsi="Book Antiqua"/>
        </w:rPr>
      </w:pPr>
      <w:r w:rsidRPr="00BB4E9B">
        <w:rPr>
          <w:rFonts w:ascii="Book Antiqua" w:hAnsi="Book Antiqua"/>
        </w:rPr>
        <w:t>b)</w:t>
      </w:r>
      <w:r w:rsidRPr="00BB4E9B" w:rsidR="00DF21EE">
        <w:rPr>
          <w:rFonts w:ascii="Book Antiqua" w:hAnsi="Book Antiqua"/>
        </w:rPr>
        <w:t xml:space="preserve"> </w:t>
      </w:r>
      <w:r w:rsidRPr="00BB4E9B" w:rsidR="00BB7C55">
        <w:rPr>
          <w:rFonts w:ascii="Book Antiqua" w:hAnsi="Book Antiqua"/>
        </w:rPr>
        <w:t>En lo que respecta a su tratamiento</w:t>
      </w:r>
      <w:r w:rsidRPr="00BB4E9B" w:rsidR="00DF21EE">
        <w:rPr>
          <w:rFonts w:ascii="Book Antiqua" w:hAnsi="Book Antiqua"/>
        </w:rPr>
        <w:t xml:space="preserve">, al igual que el de la anemia, debe enfocarse en la causa. </w:t>
      </w:r>
    </w:p>
    <w:p w:rsidRPr="00BB4E9B" w:rsidR="009938A9" w:rsidP="244DEC21" w:rsidRDefault="009938A9" w14:paraId="72044876" w14:textId="3DF38C4D" w14:noSpellErr="1">
      <w:pPr>
        <w:spacing w:after="240" w:line="360" w:lineRule="auto"/>
        <w:ind w:left="0" w:right="0" w:firstLine="0"/>
        <w:rPr>
          <w:rFonts w:ascii="Book Antiqua" w:hAnsi="Book Antiqua"/>
          <w:lang w:val="es-ES"/>
        </w:rPr>
      </w:pPr>
      <w:r w:rsidRPr="244DEC21" w:rsidR="244DEC21">
        <w:rPr>
          <w:rFonts w:ascii="Book Antiqua" w:hAnsi="Book Antiqua"/>
          <w:lang w:val="es-ES"/>
        </w:rPr>
        <w:t>c)</w:t>
      </w:r>
      <w:r w:rsidRPr="244DEC21" w:rsidR="244DEC21">
        <w:rPr>
          <w:rFonts w:ascii="Book Antiqua" w:hAnsi="Book Antiqua"/>
          <w:lang w:val="es-ES"/>
        </w:rPr>
        <w:t xml:space="preserve"> </w:t>
      </w:r>
      <w:r w:rsidRPr="244DEC21" w:rsidR="244DEC21">
        <w:rPr>
          <w:rFonts w:ascii="Book Antiqua" w:hAnsi="Book Antiqua"/>
          <w:lang w:val="es-ES"/>
        </w:rPr>
        <w:t xml:space="preserve">No está asociada al uso de fármacos clásicos como: el carboplatino, </w:t>
      </w:r>
      <w:r w:rsidRPr="244DEC21" w:rsidR="244DEC21">
        <w:rPr>
          <w:rFonts w:ascii="Book Antiqua" w:hAnsi="Book Antiqua"/>
          <w:lang w:val="es-ES"/>
        </w:rPr>
        <w:t>oxaliplatino</w:t>
      </w:r>
      <w:r w:rsidRPr="244DEC21" w:rsidR="244DEC21">
        <w:rPr>
          <w:rFonts w:ascii="Book Antiqua" w:hAnsi="Book Antiqua"/>
          <w:lang w:val="es-ES"/>
        </w:rPr>
        <w:t xml:space="preserve"> o </w:t>
      </w:r>
      <w:r w:rsidRPr="244DEC21" w:rsidR="244DEC21">
        <w:rPr>
          <w:rFonts w:ascii="Book Antiqua" w:hAnsi="Book Antiqua"/>
          <w:lang w:val="es-ES"/>
        </w:rPr>
        <w:t>irinotecan</w:t>
      </w:r>
      <w:r w:rsidRPr="244DEC21" w:rsidR="244DEC21">
        <w:rPr>
          <w:rFonts w:ascii="Book Antiqua" w:hAnsi="Book Antiqua"/>
          <w:lang w:val="es-ES"/>
        </w:rPr>
        <w:t>.</w:t>
      </w:r>
    </w:p>
    <w:p w:rsidRPr="00BB4E9B" w:rsidR="00BB7C55" w:rsidP="244DEC21" w:rsidRDefault="00BB7C55" w14:paraId="77604AF7" w14:textId="13942501" w14:noSpellErr="1">
      <w:pPr>
        <w:spacing w:before="360" w:after="240"/>
        <w:ind w:left="0" w:right="0" w:firstLine="0"/>
        <w:rPr>
          <w:rFonts w:ascii="Book Antiqua" w:hAnsi="Book Antiqua"/>
          <w:lang w:val="es-ES"/>
        </w:rPr>
      </w:pPr>
      <w:r w:rsidRPr="244DEC21" w:rsidR="244DEC21">
        <w:rPr>
          <w:rFonts w:ascii="Book Antiqua" w:hAnsi="Book Antiqua"/>
          <w:b w:val="1"/>
          <w:bCs w:val="1"/>
          <w:color w:val="FF0000"/>
          <w:lang w:val="es-ES"/>
        </w:rPr>
        <w:t>21</w:t>
      </w:r>
      <w:r w:rsidRPr="244DEC21" w:rsidR="244DEC21">
        <w:rPr>
          <w:rFonts w:ascii="Book Antiqua" w:hAnsi="Book Antiqua"/>
          <w:b w:val="1"/>
          <w:bCs w:val="1"/>
          <w:lang w:val="es-ES"/>
        </w:rPr>
        <w:t xml:space="preserve">. En el apartado en el que aborda la toxicidad </w:t>
      </w:r>
      <w:r w:rsidRPr="244DEC21" w:rsidR="244DEC21">
        <w:rPr>
          <w:rFonts w:ascii="Book Antiqua" w:hAnsi="Book Antiqua"/>
          <w:b w:val="1"/>
          <w:bCs w:val="1"/>
          <w:lang w:val="es-ES"/>
        </w:rPr>
        <w:t>en relación a</w:t>
      </w:r>
      <w:r w:rsidRPr="244DEC21" w:rsidR="244DEC21">
        <w:rPr>
          <w:rFonts w:ascii="Book Antiqua" w:hAnsi="Book Antiqua"/>
          <w:b w:val="1"/>
          <w:bCs w:val="1"/>
          <w:lang w:val="es-ES"/>
        </w:rPr>
        <w:t xml:space="preserve"> nuevos fármacos inmunomoduladores, señala:</w:t>
      </w:r>
    </w:p>
    <w:p w:rsidRPr="00BB4E9B" w:rsidR="00BB7C55" w:rsidP="00BB7C55" w:rsidRDefault="00BB7C55" w14:paraId="4428E243" w14:textId="6465072C">
      <w:pPr>
        <w:spacing w:after="0" w:line="360" w:lineRule="auto"/>
        <w:ind w:left="0" w:right="0" w:firstLine="0"/>
        <w:rPr>
          <w:rFonts w:ascii="Book Antiqua" w:hAnsi="Book Antiqua"/>
        </w:rPr>
      </w:pPr>
      <w:r w:rsidRPr="00BB4E9B">
        <w:rPr>
          <w:rFonts w:ascii="Book Antiqua" w:hAnsi="Book Antiqua"/>
        </w:rPr>
        <w:t xml:space="preserve">a) En los casos de hipotiroidismo, se recomienda la administración de tratamiento de sustitución de hormona tiroidea, incluso antes de que los síntomas aparezcan. </w:t>
      </w:r>
    </w:p>
    <w:p w:rsidRPr="00BB4E9B" w:rsidR="00BB7C55" w:rsidP="00BB7C55" w:rsidRDefault="00BB7C55" w14:paraId="6F7CF9FB" w14:textId="4C0419D2">
      <w:pPr>
        <w:spacing w:after="0" w:line="360" w:lineRule="auto"/>
        <w:ind w:left="0" w:right="0" w:firstLine="0"/>
        <w:rPr>
          <w:rFonts w:ascii="Book Antiqua" w:hAnsi="Book Antiqua"/>
        </w:rPr>
      </w:pPr>
      <w:r w:rsidRPr="00BB4E9B">
        <w:rPr>
          <w:rFonts w:ascii="Book Antiqua" w:hAnsi="Book Antiqua"/>
        </w:rPr>
        <w:t>b) Los fármacos inmunomoduladores no presentan efectos secundarios como cuadros de hipofisitis.</w:t>
      </w:r>
    </w:p>
    <w:p w:rsidRPr="00BB4E9B" w:rsidR="00BB7C55" w:rsidP="00BB7C55" w:rsidRDefault="00BB7C55" w14:paraId="155901AC" w14:textId="3E17ED01">
      <w:pPr>
        <w:spacing w:after="0" w:line="360" w:lineRule="auto"/>
        <w:ind w:left="0" w:right="0" w:firstLine="0"/>
        <w:rPr>
          <w:rFonts w:ascii="Book Antiqua" w:hAnsi="Book Antiqua"/>
        </w:rPr>
      </w:pPr>
      <w:r w:rsidRPr="00BB4E9B">
        <w:rPr>
          <w:rFonts w:ascii="Book Antiqua" w:hAnsi="Book Antiqua"/>
        </w:rPr>
        <w:t>c) El tratamiento de la colitis no se basa en la administración de corticoides sistémicos.</w:t>
      </w:r>
    </w:p>
    <w:p w:rsidRPr="00BB4E9B" w:rsidR="00BB7C55" w:rsidP="244DEC21" w:rsidRDefault="00BB7C55" w14:paraId="118AEB44" w14:textId="4E3169C5" w14:noSpellErr="1">
      <w:pPr>
        <w:spacing w:before="360" w:line="360" w:lineRule="auto"/>
        <w:ind w:left="0" w:right="0" w:firstLine="0"/>
        <w:rPr>
          <w:rFonts w:ascii="Book Antiqua" w:hAnsi="Book Antiqua"/>
          <w:b w:val="1"/>
          <w:bCs w:val="1"/>
          <w:lang w:val="es-ES"/>
        </w:rPr>
      </w:pPr>
      <w:r w:rsidRPr="244DEC21" w:rsidR="244DEC21">
        <w:rPr>
          <w:rFonts w:ascii="Book Antiqua" w:hAnsi="Book Antiqua"/>
          <w:b w:val="1"/>
          <w:bCs w:val="1"/>
          <w:color w:val="FF0000"/>
          <w:lang w:val="es-ES"/>
        </w:rPr>
        <w:t>22</w:t>
      </w:r>
      <w:r w:rsidRPr="244DEC21" w:rsidR="244DEC21">
        <w:rPr>
          <w:rFonts w:ascii="Book Antiqua" w:hAnsi="Book Antiqua"/>
          <w:b w:val="1"/>
          <w:bCs w:val="1"/>
          <w:lang w:val="es-ES"/>
        </w:rPr>
        <w:t>.</w:t>
      </w:r>
      <w:r w:rsidRPr="244DEC21" w:rsidR="244DEC21">
        <w:rPr>
          <w:rFonts w:ascii="Book Antiqua" w:hAnsi="Book Antiqua"/>
          <w:b w:val="1"/>
          <w:bCs w:val="1"/>
          <w:lang w:val="es-ES"/>
        </w:rPr>
        <w:t xml:space="preserve"> La </w:t>
      </w:r>
      <w:r w:rsidRPr="244DEC21" w:rsidR="244DEC21">
        <w:rPr>
          <w:rFonts w:ascii="Book Antiqua" w:hAnsi="Book Antiqua"/>
          <w:b w:val="1"/>
          <w:bCs w:val="1"/>
          <w:lang w:val="es-ES"/>
        </w:rPr>
        <w:t>pneumonitis</w:t>
      </w:r>
      <w:r w:rsidRPr="244DEC21" w:rsidR="244DEC21">
        <w:rPr>
          <w:rFonts w:ascii="Book Antiqua" w:hAnsi="Book Antiqua"/>
          <w:b w:val="1"/>
          <w:bCs w:val="1"/>
          <w:lang w:val="es-ES"/>
        </w:rPr>
        <w:t>:</w:t>
      </w:r>
    </w:p>
    <w:p w:rsidRPr="00BB4E9B" w:rsidR="00BB7C55" w:rsidP="00BB7C55" w:rsidRDefault="00BB7C55" w14:paraId="197056E3" w14:textId="0B6FEB27">
      <w:pPr>
        <w:spacing w:after="0" w:line="360" w:lineRule="auto"/>
        <w:ind w:left="0" w:right="0" w:firstLine="0"/>
        <w:rPr>
          <w:rFonts w:ascii="Book Antiqua" w:hAnsi="Book Antiqua"/>
        </w:rPr>
      </w:pPr>
      <w:r w:rsidRPr="00BB4E9B">
        <w:rPr>
          <w:rFonts w:ascii="Book Antiqua" w:hAnsi="Book Antiqua"/>
        </w:rPr>
        <w:t>a)</w:t>
      </w:r>
      <w:r w:rsidRPr="00BB4E9B" w:rsidR="00960707">
        <w:rPr>
          <w:rFonts w:ascii="Book Antiqua" w:hAnsi="Book Antiqua"/>
        </w:rPr>
        <w:t xml:space="preserve"> Es muy frecuente en cuanto a número de casos.</w:t>
      </w:r>
    </w:p>
    <w:p w:rsidRPr="00BB4E9B" w:rsidR="00BB7C55" w:rsidP="244DEC21" w:rsidRDefault="00BB7C55" w14:paraId="05C20B60" w14:textId="12D120F1" w14:noSpellErr="1">
      <w:pPr>
        <w:spacing w:after="0" w:line="360" w:lineRule="auto"/>
        <w:ind w:left="0" w:right="0" w:firstLine="0"/>
        <w:rPr>
          <w:rFonts w:ascii="Book Antiqua" w:hAnsi="Book Antiqua"/>
          <w:lang w:val="es-ES"/>
        </w:rPr>
      </w:pPr>
      <w:r w:rsidRPr="244DEC21" w:rsidR="244DEC21">
        <w:rPr>
          <w:rFonts w:ascii="Book Antiqua" w:hAnsi="Book Antiqua"/>
          <w:lang w:val="es-ES"/>
        </w:rPr>
        <w:t>b)</w:t>
      </w:r>
      <w:r w:rsidRPr="244DEC21" w:rsidR="244DEC21">
        <w:rPr>
          <w:lang w:val="es-ES"/>
        </w:rPr>
        <w:t xml:space="preserve"> </w:t>
      </w:r>
      <w:r w:rsidRPr="244DEC21" w:rsidR="244DEC21">
        <w:rPr>
          <w:rFonts w:ascii="Book Antiqua" w:hAnsi="Book Antiqua"/>
          <w:lang w:val="es-ES"/>
        </w:rPr>
        <w:t xml:space="preserve">Se ha observado que en algunos pacientes que reciben fármacos inmunomoduladores, se puede producir cuadros de </w:t>
      </w:r>
      <w:r w:rsidRPr="244DEC21" w:rsidR="244DEC21">
        <w:rPr>
          <w:rFonts w:ascii="Book Antiqua" w:hAnsi="Book Antiqua"/>
          <w:lang w:val="es-ES"/>
        </w:rPr>
        <w:t>pneumonitis</w:t>
      </w:r>
      <w:r w:rsidRPr="244DEC21" w:rsidR="244DEC21">
        <w:rPr>
          <w:rFonts w:ascii="Book Antiqua" w:hAnsi="Book Antiqua"/>
          <w:lang w:val="es-ES"/>
        </w:rPr>
        <w:t xml:space="preserve"> que pueden poner en compromiso la vida de los pacientes. </w:t>
      </w:r>
    </w:p>
    <w:p w:rsidRPr="00BB4E9B" w:rsidR="00BB7C55" w:rsidP="00BB7C55" w:rsidRDefault="004106B4" w14:paraId="003B0B3D" w14:textId="1151BD71">
      <w:pPr>
        <w:spacing w:after="0" w:line="360" w:lineRule="auto"/>
        <w:ind w:left="0" w:right="0" w:firstLine="0"/>
        <w:rPr>
          <w:rFonts w:ascii="Book Antiqua" w:hAnsi="Book Antiqua"/>
        </w:rPr>
      </w:pPr>
      <w:r w:rsidRPr="00BB4E9B" w:rsidR="00BB7C55">
        <w:rPr>
          <w:rFonts w:ascii="Book Antiqua" w:hAnsi="Book Antiqua"/>
        </w:rPr>
        <w:t>c)</w:t>
      </w:r>
      <w:r w:rsidRPr="00BB4E9B" w:rsidR="00960707">
        <w:rPr>
          <w:rFonts w:ascii="Book Antiqua" w:hAnsi="Book Antiqua"/>
        </w:rPr>
        <w:t xml:space="preserve"> Para un diagnóstico más certero es suficiente realizar un escáner.</w:t>
      </w:r>
    </w:p>
    <w:p w:rsidRPr="00BB4E9B" w:rsidR="009938A9" w:rsidP="00084743" w:rsidRDefault="009938A9" w14:paraId="12389596" w14:textId="206DAE17">
      <w:pPr>
        <w:spacing w:after="240" w:line="360" w:lineRule="auto"/>
        <w:ind w:left="0" w:right="0" w:firstLine="0"/>
        <w:rPr>
          <w:rFonts w:ascii="Book Antiqua" w:hAnsi="Book Antiqua"/>
        </w:rPr>
      </w:pPr>
    </w:p>
    <w:p w:rsidR="00F75508" w:rsidRDefault="00F75508" w14:paraId="5D73963A" w14:textId="77777777">
      <w:pPr>
        <w:spacing w:before="0" w:after="0" w:line="240" w:lineRule="auto"/>
        <w:ind w:left="0" w:right="0" w:firstLine="0"/>
        <w:jc w:val="left"/>
        <w:rPr>
          <w:rFonts w:ascii="Book Antiqua" w:hAnsi="Book Antiqua"/>
          <w:b/>
          <w:bCs/>
        </w:rPr>
      </w:pPr>
      <w:r w:rsidRPr="59C2EBA6">
        <w:rPr>
          <w:rFonts w:ascii="Book Antiqua" w:hAnsi="Book Antiqua"/>
          <w:b w:val="1"/>
          <w:bCs w:val="1"/>
        </w:rPr>
        <w:br w:type="page"/>
      </w:r>
    </w:p>
    <w:sectPr w:rsidRPr="00707458" w:rsidR="00B60E87" w:rsidSect="00065C4F">
      <w:footerReference w:type="even" r:id="rId7"/>
      <w:footerReference w:type="default" r:id="rId8"/>
      <w:pgSz w:w="11900" w:h="16840" w:orient="portrait"/>
      <w:pgMar w:top="1417" w:right="701" w:bottom="1417"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83A87" w:rsidP="00065C4F" w:rsidRDefault="00783A87" w14:paraId="6D988C0B" w14:textId="77777777">
      <w:pPr>
        <w:spacing w:before="0" w:after="0" w:line="240" w:lineRule="auto"/>
      </w:pPr>
      <w:r>
        <w:separator/>
      </w:r>
    </w:p>
  </w:endnote>
  <w:endnote w:type="continuationSeparator" w:id="0">
    <w:p w:rsidR="00783A87" w:rsidP="00065C4F" w:rsidRDefault="00783A87" w14:paraId="3C6ECD60" w14:textId="777777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Palatino">
    <w:altName w:val="Palatino"/>
    <w:panose1 w:val="00000000000000000000"/>
    <w:charset w:val="00"/>
    <w:family w:val="auto"/>
    <w:pitch w:val="variable"/>
    <w:sig w:usb0="A00002FF" w:usb1="7800205A" w:usb2="14600000" w:usb3="00000000" w:csb0="00000193" w:csb1="00000000"/>
  </w:font>
  <w:font w:name="Cambria">
    <w:panose1 w:val="02040503050406030204"/>
    <w:charset w:val="00"/>
    <w:family w:val="roman"/>
    <w:pitch w:val="variable"/>
    <w:sig w:usb0="A00002EF" w:usb1="4000004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2060589714"/>
      <w:docPartObj>
        <w:docPartGallery w:val="Page Numbers (Bottom of Page)"/>
        <w:docPartUnique/>
      </w:docPartObj>
    </w:sdtPr>
    <w:sdtEndPr>
      <w:rPr>
        <w:rStyle w:val="Nmerodepgina"/>
      </w:rPr>
    </w:sdtEndPr>
    <w:sdtContent>
      <w:p w:rsidR="00FF3A8C" w:rsidP="00EA3218" w:rsidRDefault="00FF3A8C" w14:paraId="53DE18D8" w14:textId="6C673BEB">
        <w:pPr>
          <w:pStyle w:val="Piedepgina"/>
          <w:framePr w:wrap="none" w:hAnchor="margin" w:vAnchor="text"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FF3A8C" w:rsidRDefault="00FF3A8C" w14:paraId="676CCC14"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616103361"/>
      <w:docPartObj>
        <w:docPartGallery w:val="Page Numbers (Bottom of Page)"/>
        <w:docPartUnique/>
      </w:docPartObj>
    </w:sdtPr>
    <w:sdtEndPr>
      <w:rPr>
        <w:rStyle w:val="Nmerodepgina"/>
      </w:rPr>
    </w:sdtEndPr>
    <w:sdtContent>
      <w:p w:rsidR="00FF3A8C" w:rsidP="00EA3218" w:rsidRDefault="00FF3A8C" w14:paraId="538B7DCD" w14:textId="053AB237">
        <w:pPr>
          <w:pStyle w:val="Piedepgina"/>
          <w:framePr w:wrap="none" w:hAnchor="margin" w:vAnchor="text"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rsidR="00FF3A8C" w:rsidRDefault="00FF3A8C" w14:paraId="5295AFF0"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83A87" w:rsidP="00065C4F" w:rsidRDefault="00783A87" w14:paraId="1AED4005" w14:textId="77777777">
      <w:pPr>
        <w:spacing w:before="0" w:after="0" w:line="240" w:lineRule="auto"/>
      </w:pPr>
      <w:r>
        <w:separator/>
      </w:r>
    </w:p>
  </w:footnote>
  <w:footnote w:type="continuationSeparator" w:id="0">
    <w:p w:rsidR="00783A87" w:rsidP="00065C4F" w:rsidRDefault="00783A87" w14:paraId="7E908801" w14:textId="77777777">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276"/>
    <w:rsid w:val="000117F3"/>
    <w:rsid w:val="00012326"/>
    <w:rsid w:val="000219A3"/>
    <w:rsid w:val="0003392A"/>
    <w:rsid w:val="0004330C"/>
    <w:rsid w:val="00043510"/>
    <w:rsid w:val="00065C4F"/>
    <w:rsid w:val="00066CCA"/>
    <w:rsid w:val="0007186E"/>
    <w:rsid w:val="00077D5F"/>
    <w:rsid w:val="00084743"/>
    <w:rsid w:val="00084AB1"/>
    <w:rsid w:val="00085515"/>
    <w:rsid w:val="000873A0"/>
    <w:rsid w:val="0009746C"/>
    <w:rsid w:val="000A6AFD"/>
    <w:rsid w:val="000B09F6"/>
    <w:rsid w:val="000C3B55"/>
    <w:rsid w:val="000D6768"/>
    <w:rsid w:val="000E447B"/>
    <w:rsid w:val="0010081E"/>
    <w:rsid w:val="00114006"/>
    <w:rsid w:val="00121045"/>
    <w:rsid w:val="00121276"/>
    <w:rsid w:val="00126CDB"/>
    <w:rsid w:val="00136DF8"/>
    <w:rsid w:val="00145F0E"/>
    <w:rsid w:val="00155C57"/>
    <w:rsid w:val="00165EFA"/>
    <w:rsid w:val="00165FFD"/>
    <w:rsid w:val="001723C9"/>
    <w:rsid w:val="00191FCD"/>
    <w:rsid w:val="001C7533"/>
    <w:rsid w:val="001D5415"/>
    <w:rsid w:val="001D76EB"/>
    <w:rsid w:val="001E699E"/>
    <w:rsid w:val="001F5FA9"/>
    <w:rsid w:val="001F6E9C"/>
    <w:rsid w:val="00201304"/>
    <w:rsid w:val="002047BA"/>
    <w:rsid w:val="00214324"/>
    <w:rsid w:val="00220334"/>
    <w:rsid w:val="00224232"/>
    <w:rsid w:val="00234E06"/>
    <w:rsid w:val="00241516"/>
    <w:rsid w:val="00242C90"/>
    <w:rsid w:val="00244F6A"/>
    <w:rsid w:val="00246791"/>
    <w:rsid w:val="00250A85"/>
    <w:rsid w:val="0025235F"/>
    <w:rsid w:val="0025484B"/>
    <w:rsid w:val="00256272"/>
    <w:rsid w:val="00257057"/>
    <w:rsid w:val="002834B7"/>
    <w:rsid w:val="0029149A"/>
    <w:rsid w:val="00297CF6"/>
    <w:rsid w:val="002A7F9D"/>
    <w:rsid w:val="002C18D2"/>
    <w:rsid w:val="002C77DC"/>
    <w:rsid w:val="002E4A07"/>
    <w:rsid w:val="002E721A"/>
    <w:rsid w:val="002F0992"/>
    <w:rsid w:val="00306E13"/>
    <w:rsid w:val="003160B6"/>
    <w:rsid w:val="00327093"/>
    <w:rsid w:val="00331854"/>
    <w:rsid w:val="00334702"/>
    <w:rsid w:val="003501C6"/>
    <w:rsid w:val="00355488"/>
    <w:rsid w:val="0035723D"/>
    <w:rsid w:val="00373E32"/>
    <w:rsid w:val="00383284"/>
    <w:rsid w:val="00397597"/>
    <w:rsid w:val="003B431E"/>
    <w:rsid w:val="003C259A"/>
    <w:rsid w:val="003C48D7"/>
    <w:rsid w:val="003C6815"/>
    <w:rsid w:val="003D158C"/>
    <w:rsid w:val="003D3DDC"/>
    <w:rsid w:val="003D543C"/>
    <w:rsid w:val="003D7B5A"/>
    <w:rsid w:val="003E5BBE"/>
    <w:rsid w:val="004079D6"/>
    <w:rsid w:val="004106B4"/>
    <w:rsid w:val="00414D20"/>
    <w:rsid w:val="0041590F"/>
    <w:rsid w:val="004214A9"/>
    <w:rsid w:val="0042215B"/>
    <w:rsid w:val="00433389"/>
    <w:rsid w:val="00440F1C"/>
    <w:rsid w:val="004638E4"/>
    <w:rsid w:val="0046496C"/>
    <w:rsid w:val="00466208"/>
    <w:rsid w:val="004678C9"/>
    <w:rsid w:val="00474452"/>
    <w:rsid w:val="0047776D"/>
    <w:rsid w:val="00480606"/>
    <w:rsid w:val="004812FD"/>
    <w:rsid w:val="0048514D"/>
    <w:rsid w:val="00492D5B"/>
    <w:rsid w:val="004B339F"/>
    <w:rsid w:val="004C24B2"/>
    <w:rsid w:val="004D4951"/>
    <w:rsid w:val="004E62F6"/>
    <w:rsid w:val="004F781A"/>
    <w:rsid w:val="005070BE"/>
    <w:rsid w:val="0051212F"/>
    <w:rsid w:val="0052134C"/>
    <w:rsid w:val="00533976"/>
    <w:rsid w:val="00533DF1"/>
    <w:rsid w:val="00535163"/>
    <w:rsid w:val="00543DED"/>
    <w:rsid w:val="00553738"/>
    <w:rsid w:val="00563246"/>
    <w:rsid w:val="00571CAF"/>
    <w:rsid w:val="00592758"/>
    <w:rsid w:val="00595B7C"/>
    <w:rsid w:val="005A2D7E"/>
    <w:rsid w:val="005A5EE1"/>
    <w:rsid w:val="005B6CC5"/>
    <w:rsid w:val="005D1E37"/>
    <w:rsid w:val="005D4ACD"/>
    <w:rsid w:val="0060670D"/>
    <w:rsid w:val="006144A3"/>
    <w:rsid w:val="00622450"/>
    <w:rsid w:val="006258C7"/>
    <w:rsid w:val="0062617A"/>
    <w:rsid w:val="006266F8"/>
    <w:rsid w:val="00626DCA"/>
    <w:rsid w:val="0063208D"/>
    <w:rsid w:val="0065699A"/>
    <w:rsid w:val="006616E2"/>
    <w:rsid w:val="00675FA5"/>
    <w:rsid w:val="00677E77"/>
    <w:rsid w:val="00686E73"/>
    <w:rsid w:val="006A36DA"/>
    <w:rsid w:val="006B0ECD"/>
    <w:rsid w:val="006B1DC3"/>
    <w:rsid w:val="006C1587"/>
    <w:rsid w:val="006D23ED"/>
    <w:rsid w:val="006D6D9C"/>
    <w:rsid w:val="006E1D4E"/>
    <w:rsid w:val="006F13EE"/>
    <w:rsid w:val="006F6159"/>
    <w:rsid w:val="006F6356"/>
    <w:rsid w:val="007065BB"/>
    <w:rsid w:val="00707458"/>
    <w:rsid w:val="00717080"/>
    <w:rsid w:val="00732955"/>
    <w:rsid w:val="00737604"/>
    <w:rsid w:val="007461ED"/>
    <w:rsid w:val="007714EC"/>
    <w:rsid w:val="00771849"/>
    <w:rsid w:val="00783A87"/>
    <w:rsid w:val="0078576E"/>
    <w:rsid w:val="00794BB8"/>
    <w:rsid w:val="00796DFD"/>
    <w:rsid w:val="007A4A73"/>
    <w:rsid w:val="007B026A"/>
    <w:rsid w:val="007C7304"/>
    <w:rsid w:val="007D31DC"/>
    <w:rsid w:val="007E0FD3"/>
    <w:rsid w:val="007E26C0"/>
    <w:rsid w:val="007E7289"/>
    <w:rsid w:val="007F3AB9"/>
    <w:rsid w:val="00802459"/>
    <w:rsid w:val="00812AFF"/>
    <w:rsid w:val="00812F89"/>
    <w:rsid w:val="008165F0"/>
    <w:rsid w:val="00817F37"/>
    <w:rsid w:val="00822802"/>
    <w:rsid w:val="00832998"/>
    <w:rsid w:val="008410D1"/>
    <w:rsid w:val="008432D5"/>
    <w:rsid w:val="0085662C"/>
    <w:rsid w:val="008711DE"/>
    <w:rsid w:val="00875183"/>
    <w:rsid w:val="0088177B"/>
    <w:rsid w:val="008922A2"/>
    <w:rsid w:val="00894830"/>
    <w:rsid w:val="008A46A5"/>
    <w:rsid w:val="008A7848"/>
    <w:rsid w:val="008B142E"/>
    <w:rsid w:val="008C0049"/>
    <w:rsid w:val="008C0365"/>
    <w:rsid w:val="008D3BC0"/>
    <w:rsid w:val="008D7562"/>
    <w:rsid w:val="009015B7"/>
    <w:rsid w:val="00914363"/>
    <w:rsid w:val="00923341"/>
    <w:rsid w:val="00925C8E"/>
    <w:rsid w:val="00931653"/>
    <w:rsid w:val="009328BF"/>
    <w:rsid w:val="0094126C"/>
    <w:rsid w:val="00946A9C"/>
    <w:rsid w:val="00952DEF"/>
    <w:rsid w:val="00960707"/>
    <w:rsid w:val="00980B09"/>
    <w:rsid w:val="00981606"/>
    <w:rsid w:val="00981BB6"/>
    <w:rsid w:val="00983654"/>
    <w:rsid w:val="00985AE3"/>
    <w:rsid w:val="00985E2E"/>
    <w:rsid w:val="009938A9"/>
    <w:rsid w:val="009C5F6C"/>
    <w:rsid w:val="009D1BE4"/>
    <w:rsid w:val="00A04F7B"/>
    <w:rsid w:val="00A14B16"/>
    <w:rsid w:val="00A21D8A"/>
    <w:rsid w:val="00A21E16"/>
    <w:rsid w:val="00A2262D"/>
    <w:rsid w:val="00A2294F"/>
    <w:rsid w:val="00A30954"/>
    <w:rsid w:val="00A32BEE"/>
    <w:rsid w:val="00A37FB7"/>
    <w:rsid w:val="00A404E4"/>
    <w:rsid w:val="00A47E8D"/>
    <w:rsid w:val="00A571E8"/>
    <w:rsid w:val="00A81ED2"/>
    <w:rsid w:val="00A870BA"/>
    <w:rsid w:val="00A90640"/>
    <w:rsid w:val="00AA42C2"/>
    <w:rsid w:val="00AA6A1E"/>
    <w:rsid w:val="00AB22AF"/>
    <w:rsid w:val="00AC3F13"/>
    <w:rsid w:val="00AE6CA6"/>
    <w:rsid w:val="00AF04A4"/>
    <w:rsid w:val="00B05539"/>
    <w:rsid w:val="00B2683B"/>
    <w:rsid w:val="00B30309"/>
    <w:rsid w:val="00B31665"/>
    <w:rsid w:val="00B547C6"/>
    <w:rsid w:val="00B55BD3"/>
    <w:rsid w:val="00B576C5"/>
    <w:rsid w:val="00B60E87"/>
    <w:rsid w:val="00B65007"/>
    <w:rsid w:val="00B65DD1"/>
    <w:rsid w:val="00B71BDC"/>
    <w:rsid w:val="00B84619"/>
    <w:rsid w:val="00B90E4D"/>
    <w:rsid w:val="00B9215A"/>
    <w:rsid w:val="00B97866"/>
    <w:rsid w:val="00BB0FB4"/>
    <w:rsid w:val="00BB406C"/>
    <w:rsid w:val="00BB4E9B"/>
    <w:rsid w:val="00BB5966"/>
    <w:rsid w:val="00BB7C55"/>
    <w:rsid w:val="00BD18D0"/>
    <w:rsid w:val="00BD2F1D"/>
    <w:rsid w:val="00BF2B42"/>
    <w:rsid w:val="00BF47B5"/>
    <w:rsid w:val="00C00399"/>
    <w:rsid w:val="00C11DF9"/>
    <w:rsid w:val="00C26E3A"/>
    <w:rsid w:val="00C377CF"/>
    <w:rsid w:val="00C41C34"/>
    <w:rsid w:val="00C44E10"/>
    <w:rsid w:val="00C46813"/>
    <w:rsid w:val="00C47693"/>
    <w:rsid w:val="00C5085D"/>
    <w:rsid w:val="00C531B2"/>
    <w:rsid w:val="00C57987"/>
    <w:rsid w:val="00C61FEE"/>
    <w:rsid w:val="00C80F00"/>
    <w:rsid w:val="00C87C13"/>
    <w:rsid w:val="00CA1C2A"/>
    <w:rsid w:val="00CB4524"/>
    <w:rsid w:val="00CC232C"/>
    <w:rsid w:val="00CD0BB4"/>
    <w:rsid w:val="00CF658A"/>
    <w:rsid w:val="00D05E33"/>
    <w:rsid w:val="00D0790D"/>
    <w:rsid w:val="00D1159D"/>
    <w:rsid w:val="00D206FE"/>
    <w:rsid w:val="00D254C4"/>
    <w:rsid w:val="00D311B8"/>
    <w:rsid w:val="00D31F8B"/>
    <w:rsid w:val="00D361F9"/>
    <w:rsid w:val="00D41F0B"/>
    <w:rsid w:val="00D57258"/>
    <w:rsid w:val="00D642E4"/>
    <w:rsid w:val="00D708E1"/>
    <w:rsid w:val="00D70967"/>
    <w:rsid w:val="00D741A2"/>
    <w:rsid w:val="00D9439A"/>
    <w:rsid w:val="00D95B0D"/>
    <w:rsid w:val="00DA02B3"/>
    <w:rsid w:val="00DA537A"/>
    <w:rsid w:val="00DA553A"/>
    <w:rsid w:val="00DB45AD"/>
    <w:rsid w:val="00DC2AF6"/>
    <w:rsid w:val="00DD2625"/>
    <w:rsid w:val="00DD2F3F"/>
    <w:rsid w:val="00DF21EE"/>
    <w:rsid w:val="00DF6BA7"/>
    <w:rsid w:val="00E032A5"/>
    <w:rsid w:val="00E03D32"/>
    <w:rsid w:val="00E051AF"/>
    <w:rsid w:val="00E166ED"/>
    <w:rsid w:val="00E17901"/>
    <w:rsid w:val="00E25090"/>
    <w:rsid w:val="00E33FFC"/>
    <w:rsid w:val="00E416FF"/>
    <w:rsid w:val="00E440A8"/>
    <w:rsid w:val="00E51A61"/>
    <w:rsid w:val="00E54CCF"/>
    <w:rsid w:val="00E55A62"/>
    <w:rsid w:val="00E7182A"/>
    <w:rsid w:val="00E806FB"/>
    <w:rsid w:val="00E8353D"/>
    <w:rsid w:val="00E87AD3"/>
    <w:rsid w:val="00E95947"/>
    <w:rsid w:val="00EA3218"/>
    <w:rsid w:val="00EA3B64"/>
    <w:rsid w:val="00EA454E"/>
    <w:rsid w:val="00EC09DA"/>
    <w:rsid w:val="00EC452A"/>
    <w:rsid w:val="00EC51E4"/>
    <w:rsid w:val="00EC68EF"/>
    <w:rsid w:val="00ED3D30"/>
    <w:rsid w:val="00EE605F"/>
    <w:rsid w:val="00EF2BB3"/>
    <w:rsid w:val="00EF50CE"/>
    <w:rsid w:val="00F02847"/>
    <w:rsid w:val="00F17B32"/>
    <w:rsid w:val="00F42BD0"/>
    <w:rsid w:val="00F5179F"/>
    <w:rsid w:val="00F75508"/>
    <w:rsid w:val="00F76E8F"/>
    <w:rsid w:val="00F84D68"/>
    <w:rsid w:val="00F944C2"/>
    <w:rsid w:val="00FA6719"/>
    <w:rsid w:val="00FC26B6"/>
    <w:rsid w:val="00FC4D09"/>
    <w:rsid w:val="00FC4FD1"/>
    <w:rsid w:val="00FC55ED"/>
    <w:rsid w:val="00FE4222"/>
    <w:rsid w:val="00FE426B"/>
    <w:rsid w:val="00FF3A8C"/>
    <w:rsid w:val="00FF7078"/>
    <w:rsid w:val="244DEC21"/>
    <w:rsid w:val="59C2EBA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7E29E"/>
  <w14:defaultImageDpi w14:val="32767"/>
  <w15:chartTrackingRefBased/>
  <w15:docId w15:val="{E6FC26D3-899B-E041-A237-C43A63A5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B60E87"/>
    <w:pPr>
      <w:spacing w:before="120" w:after="120" w:line="264" w:lineRule="auto"/>
      <w:ind w:left="1134" w:right="851" w:firstLine="567"/>
      <w:jc w:val="both"/>
    </w:pPr>
    <w:rPr>
      <w:rFonts w:ascii="Palatino" w:hAnsi="Palatino" w:eastAsia="Cambria" w:cs="Times New Roman"/>
      <w:lang w:eastAsia="ja-JP"/>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065C4F"/>
    <w:pPr>
      <w:tabs>
        <w:tab w:val="center" w:pos="4252"/>
        <w:tab w:val="right" w:pos="8504"/>
      </w:tabs>
      <w:spacing w:before="0" w:after="0" w:line="240" w:lineRule="auto"/>
    </w:pPr>
  </w:style>
  <w:style w:type="character" w:styleId="PiedepginaCar" w:customStyle="1">
    <w:name w:val="Pie de página Car"/>
    <w:basedOn w:val="Fuentedeprrafopredeter"/>
    <w:link w:val="Piedepgina"/>
    <w:uiPriority w:val="99"/>
    <w:rsid w:val="00065C4F"/>
    <w:rPr>
      <w:rFonts w:ascii="Palatino" w:hAnsi="Palatino" w:eastAsia="Cambria" w:cs="Times New Roman"/>
      <w:lang w:eastAsia="ja-JP"/>
    </w:rPr>
  </w:style>
  <w:style w:type="character" w:styleId="Nmerodepgina">
    <w:name w:val="page number"/>
    <w:basedOn w:val="Fuentedeprrafopredeter"/>
    <w:uiPriority w:val="99"/>
    <w:semiHidden/>
    <w:unhideWhenUsed/>
    <w:rsid w:val="00065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079989">
      <w:bodyDiv w:val="1"/>
      <w:marLeft w:val="0"/>
      <w:marRight w:val="0"/>
      <w:marTop w:val="0"/>
      <w:marBottom w:val="0"/>
      <w:divBdr>
        <w:top w:val="none" w:sz="0" w:space="0" w:color="auto"/>
        <w:left w:val="none" w:sz="0" w:space="0" w:color="auto"/>
        <w:bottom w:val="none" w:sz="0" w:space="0" w:color="auto"/>
        <w:right w:val="none" w:sz="0" w:space="0" w:color="auto"/>
      </w:divBdr>
      <w:divsChild>
        <w:div w:id="562834059">
          <w:marLeft w:val="0"/>
          <w:marRight w:val="0"/>
          <w:marTop w:val="0"/>
          <w:marBottom w:val="0"/>
          <w:divBdr>
            <w:top w:val="none" w:sz="0" w:space="0" w:color="auto"/>
            <w:left w:val="none" w:sz="0" w:space="0" w:color="auto"/>
            <w:bottom w:val="none" w:sz="0" w:space="0" w:color="auto"/>
            <w:right w:val="none" w:sz="0" w:space="0" w:color="auto"/>
          </w:divBdr>
          <w:divsChild>
            <w:div w:id="1643926051">
              <w:marLeft w:val="0"/>
              <w:marRight w:val="0"/>
              <w:marTop w:val="0"/>
              <w:marBottom w:val="0"/>
              <w:divBdr>
                <w:top w:val="none" w:sz="0" w:space="0" w:color="auto"/>
                <w:left w:val="none" w:sz="0" w:space="0" w:color="auto"/>
                <w:bottom w:val="none" w:sz="0" w:space="0" w:color="auto"/>
                <w:right w:val="none" w:sz="0" w:space="0" w:color="auto"/>
              </w:divBdr>
              <w:divsChild>
                <w:div w:id="7243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237458">
      <w:bodyDiv w:val="1"/>
      <w:marLeft w:val="0"/>
      <w:marRight w:val="0"/>
      <w:marTop w:val="0"/>
      <w:marBottom w:val="0"/>
      <w:divBdr>
        <w:top w:val="none" w:sz="0" w:space="0" w:color="auto"/>
        <w:left w:val="none" w:sz="0" w:space="0" w:color="auto"/>
        <w:bottom w:val="none" w:sz="0" w:space="0" w:color="auto"/>
        <w:right w:val="none" w:sz="0" w:space="0" w:color="auto"/>
      </w:divBdr>
      <w:divsChild>
        <w:div w:id="1958177924">
          <w:marLeft w:val="0"/>
          <w:marRight w:val="0"/>
          <w:marTop w:val="0"/>
          <w:marBottom w:val="0"/>
          <w:divBdr>
            <w:top w:val="none" w:sz="0" w:space="0" w:color="auto"/>
            <w:left w:val="none" w:sz="0" w:space="0" w:color="auto"/>
            <w:bottom w:val="none" w:sz="0" w:space="0" w:color="auto"/>
            <w:right w:val="none" w:sz="0" w:space="0" w:color="auto"/>
          </w:divBdr>
          <w:divsChild>
            <w:div w:id="635453527">
              <w:marLeft w:val="0"/>
              <w:marRight w:val="0"/>
              <w:marTop w:val="0"/>
              <w:marBottom w:val="0"/>
              <w:divBdr>
                <w:top w:val="none" w:sz="0" w:space="0" w:color="auto"/>
                <w:left w:val="none" w:sz="0" w:space="0" w:color="auto"/>
                <w:bottom w:val="none" w:sz="0" w:space="0" w:color="auto"/>
                <w:right w:val="none" w:sz="0" w:space="0" w:color="auto"/>
              </w:divBdr>
              <w:divsChild>
                <w:div w:id="114766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262485">
      <w:bodyDiv w:val="1"/>
      <w:marLeft w:val="0"/>
      <w:marRight w:val="0"/>
      <w:marTop w:val="0"/>
      <w:marBottom w:val="0"/>
      <w:divBdr>
        <w:top w:val="none" w:sz="0" w:space="0" w:color="auto"/>
        <w:left w:val="none" w:sz="0" w:space="0" w:color="auto"/>
        <w:bottom w:val="none" w:sz="0" w:space="0" w:color="auto"/>
        <w:right w:val="none" w:sz="0" w:space="0" w:color="auto"/>
      </w:divBdr>
      <w:divsChild>
        <w:div w:id="990645307">
          <w:marLeft w:val="0"/>
          <w:marRight w:val="0"/>
          <w:marTop w:val="0"/>
          <w:marBottom w:val="0"/>
          <w:divBdr>
            <w:top w:val="none" w:sz="0" w:space="0" w:color="auto"/>
            <w:left w:val="none" w:sz="0" w:space="0" w:color="auto"/>
            <w:bottom w:val="none" w:sz="0" w:space="0" w:color="auto"/>
            <w:right w:val="none" w:sz="0" w:space="0" w:color="auto"/>
          </w:divBdr>
          <w:divsChild>
            <w:div w:id="963773442">
              <w:marLeft w:val="0"/>
              <w:marRight w:val="0"/>
              <w:marTop w:val="0"/>
              <w:marBottom w:val="0"/>
              <w:divBdr>
                <w:top w:val="none" w:sz="0" w:space="0" w:color="auto"/>
                <w:left w:val="none" w:sz="0" w:space="0" w:color="auto"/>
                <w:bottom w:val="none" w:sz="0" w:space="0" w:color="auto"/>
                <w:right w:val="none" w:sz="0" w:space="0" w:color="auto"/>
              </w:divBdr>
              <w:divsChild>
                <w:div w:id="13494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475842">
      <w:bodyDiv w:val="1"/>
      <w:marLeft w:val="0"/>
      <w:marRight w:val="0"/>
      <w:marTop w:val="0"/>
      <w:marBottom w:val="0"/>
      <w:divBdr>
        <w:top w:val="none" w:sz="0" w:space="0" w:color="auto"/>
        <w:left w:val="none" w:sz="0" w:space="0" w:color="auto"/>
        <w:bottom w:val="none" w:sz="0" w:space="0" w:color="auto"/>
        <w:right w:val="none" w:sz="0" w:space="0" w:color="auto"/>
      </w:divBdr>
      <w:divsChild>
        <w:div w:id="490297819">
          <w:marLeft w:val="0"/>
          <w:marRight w:val="0"/>
          <w:marTop w:val="0"/>
          <w:marBottom w:val="0"/>
          <w:divBdr>
            <w:top w:val="none" w:sz="0" w:space="0" w:color="auto"/>
            <w:left w:val="none" w:sz="0" w:space="0" w:color="auto"/>
            <w:bottom w:val="none" w:sz="0" w:space="0" w:color="auto"/>
            <w:right w:val="none" w:sz="0" w:space="0" w:color="auto"/>
          </w:divBdr>
          <w:divsChild>
            <w:div w:id="374619595">
              <w:marLeft w:val="0"/>
              <w:marRight w:val="0"/>
              <w:marTop w:val="0"/>
              <w:marBottom w:val="0"/>
              <w:divBdr>
                <w:top w:val="none" w:sz="0" w:space="0" w:color="auto"/>
                <w:left w:val="none" w:sz="0" w:space="0" w:color="auto"/>
                <w:bottom w:val="none" w:sz="0" w:space="0" w:color="auto"/>
                <w:right w:val="none" w:sz="0" w:space="0" w:color="auto"/>
              </w:divBdr>
              <w:divsChild>
                <w:div w:id="929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665752">
      <w:bodyDiv w:val="1"/>
      <w:marLeft w:val="0"/>
      <w:marRight w:val="0"/>
      <w:marTop w:val="0"/>
      <w:marBottom w:val="0"/>
      <w:divBdr>
        <w:top w:val="none" w:sz="0" w:space="0" w:color="auto"/>
        <w:left w:val="none" w:sz="0" w:space="0" w:color="auto"/>
        <w:bottom w:val="none" w:sz="0" w:space="0" w:color="auto"/>
        <w:right w:val="none" w:sz="0" w:space="0" w:color="auto"/>
      </w:divBdr>
      <w:divsChild>
        <w:div w:id="2038658238">
          <w:marLeft w:val="0"/>
          <w:marRight w:val="0"/>
          <w:marTop w:val="0"/>
          <w:marBottom w:val="0"/>
          <w:divBdr>
            <w:top w:val="none" w:sz="0" w:space="0" w:color="auto"/>
            <w:left w:val="none" w:sz="0" w:space="0" w:color="auto"/>
            <w:bottom w:val="none" w:sz="0" w:space="0" w:color="auto"/>
            <w:right w:val="none" w:sz="0" w:space="0" w:color="auto"/>
          </w:divBdr>
          <w:divsChild>
            <w:div w:id="622199177">
              <w:marLeft w:val="0"/>
              <w:marRight w:val="0"/>
              <w:marTop w:val="0"/>
              <w:marBottom w:val="0"/>
              <w:divBdr>
                <w:top w:val="none" w:sz="0" w:space="0" w:color="auto"/>
                <w:left w:val="none" w:sz="0" w:space="0" w:color="auto"/>
                <w:bottom w:val="none" w:sz="0" w:space="0" w:color="auto"/>
                <w:right w:val="none" w:sz="0" w:space="0" w:color="auto"/>
              </w:divBdr>
              <w:divsChild>
                <w:div w:id="211355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025090">
      <w:bodyDiv w:val="1"/>
      <w:marLeft w:val="0"/>
      <w:marRight w:val="0"/>
      <w:marTop w:val="0"/>
      <w:marBottom w:val="0"/>
      <w:divBdr>
        <w:top w:val="none" w:sz="0" w:space="0" w:color="auto"/>
        <w:left w:val="none" w:sz="0" w:space="0" w:color="auto"/>
        <w:bottom w:val="none" w:sz="0" w:space="0" w:color="auto"/>
        <w:right w:val="none" w:sz="0" w:space="0" w:color="auto"/>
      </w:divBdr>
      <w:divsChild>
        <w:div w:id="623194614">
          <w:marLeft w:val="0"/>
          <w:marRight w:val="0"/>
          <w:marTop w:val="0"/>
          <w:marBottom w:val="0"/>
          <w:divBdr>
            <w:top w:val="none" w:sz="0" w:space="0" w:color="auto"/>
            <w:left w:val="none" w:sz="0" w:space="0" w:color="auto"/>
            <w:bottom w:val="none" w:sz="0" w:space="0" w:color="auto"/>
            <w:right w:val="none" w:sz="0" w:space="0" w:color="auto"/>
          </w:divBdr>
          <w:divsChild>
            <w:div w:id="698168591">
              <w:marLeft w:val="0"/>
              <w:marRight w:val="0"/>
              <w:marTop w:val="0"/>
              <w:marBottom w:val="0"/>
              <w:divBdr>
                <w:top w:val="none" w:sz="0" w:space="0" w:color="auto"/>
                <w:left w:val="none" w:sz="0" w:space="0" w:color="auto"/>
                <w:bottom w:val="none" w:sz="0" w:space="0" w:color="auto"/>
                <w:right w:val="none" w:sz="0" w:space="0" w:color="auto"/>
              </w:divBdr>
              <w:divsChild>
                <w:div w:id="116458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831489">
      <w:bodyDiv w:val="1"/>
      <w:marLeft w:val="0"/>
      <w:marRight w:val="0"/>
      <w:marTop w:val="0"/>
      <w:marBottom w:val="0"/>
      <w:divBdr>
        <w:top w:val="none" w:sz="0" w:space="0" w:color="auto"/>
        <w:left w:val="none" w:sz="0" w:space="0" w:color="auto"/>
        <w:bottom w:val="none" w:sz="0" w:space="0" w:color="auto"/>
        <w:right w:val="none" w:sz="0" w:space="0" w:color="auto"/>
      </w:divBdr>
      <w:divsChild>
        <w:div w:id="1570655496">
          <w:marLeft w:val="0"/>
          <w:marRight w:val="0"/>
          <w:marTop w:val="0"/>
          <w:marBottom w:val="0"/>
          <w:divBdr>
            <w:top w:val="none" w:sz="0" w:space="0" w:color="auto"/>
            <w:left w:val="none" w:sz="0" w:space="0" w:color="auto"/>
            <w:bottom w:val="none" w:sz="0" w:space="0" w:color="auto"/>
            <w:right w:val="none" w:sz="0" w:space="0" w:color="auto"/>
          </w:divBdr>
          <w:divsChild>
            <w:div w:id="859203403">
              <w:marLeft w:val="0"/>
              <w:marRight w:val="0"/>
              <w:marTop w:val="0"/>
              <w:marBottom w:val="0"/>
              <w:divBdr>
                <w:top w:val="none" w:sz="0" w:space="0" w:color="auto"/>
                <w:left w:val="none" w:sz="0" w:space="0" w:color="auto"/>
                <w:bottom w:val="none" w:sz="0" w:space="0" w:color="auto"/>
                <w:right w:val="none" w:sz="0" w:space="0" w:color="auto"/>
              </w:divBdr>
              <w:divsChild>
                <w:div w:id="8652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507785">
      <w:bodyDiv w:val="1"/>
      <w:marLeft w:val="0"/>
      <w:marRight w:val="0"/>
      <w:marTop w:val="0"/>
      <w:marBottom w:val="0"/>
      <w:divBdr>
        <w:top w:val="none" w:sz="0" w:space="0" w:color="auto"/>
        <w:left w:val="none" w:sz="0" w:space="0" w:color="auto"/>
        <w:bottom w:val="none" w:sz="0" w:space="0" w:color="auto"/>
        <w:right w:val="none" w:sz="0" w:space="0" w:color="auto"/>
      </w:divBdr>
      <w:divsChild>
        <w:div w:id="900286488">
          <w:marLeft w:val="0"/>
          <w:marRight w:val="0"/>
          <w:marTop w:val="0"/>
          <w:marBottom w:val="0"/>
          <w:divBdr>
            <w:top w:val="none" w:sz="0" w:space="0" w:color="auto"/>
            <w:left w:val="none" w:sz="0" w:space="0" w:color="auto"/>
            <w:bottom w:val="none" w:sz="0" w:space="0" w:color="auto"/>
            <w:right w:val="none" w:sz="0" w:space="0" w:color="auto"/>
          </w:divBdr>
          <w:divsChild>
            <w:div w:id="876700870">
              <w:marLeft w:val="0"/>
              <w:marRight w:val="0"/>
              <w:marTop w:val="0"/>
              <w:marBottom w:val="0"/>
              <w:divBdr>
                <w:top w:val="none" w:sz="0" w:space="0" w:color="auto"/>
                <w:left w:val="none" w:sz="0" w:space="0" w:color="auto"/>
                <w:bottom w:val="none" w:sz="0" w:space="0" w:color="auto"/>
                <w:right w:val="none" w:sz="0" w:space="0" w:color="auto"/>
              </w:divBdr>
              <w:divsChild>
                <w:div w:id="48412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992877">
      <w:bodyDiv w:val="1"/>
      <w:marLeft w:val="0"/>
      <w:marRight w:val="0"/>
      <w:marTop w:val="0"/>
      <w:marBottom w:val="0"/>
      <w:divBdr>
        <w:top w:val="none" w:sz="0" w:space="0" w:color="auto"/>
        <w:left w:val="none" w:sz="0" w:space="0" w:color="auto"/>
        <w:bottom w:val="none" w:sz="0" w:space="0" w:color="auto"/>
        <w:right w:val="none" w:sz="0" w:space="0" w:color="auto"/>
      </w:divBdr>
      <w:divsChild>
        <w:div w:id="1591548933">
          <w:marLeft w:val="0"/>
          <w:marRight w:val="0"/>
          <w:marTop w:val="0"/>
          <w:marBottom w:val="0"/>
          <w:divBdr>
            <w:top w:val="none" w:sz="0" w:space="0" w:color="auto"/>
            <w:left w:val="none" w:sz="0" w:space="0" w:color="auto"/>
            <w:bottom w:val="none" w:sz="0" w:space="0" w:color="auto"/>
            <w:right w:val="none" w:sz="0" w:space="0" w:color="auto"/>
          </w:divBdr>
          <w:divsChild>
            <w:div w:id="945499685">
              <w:marLeft w:val="0"/>
              <w:marRight w:val="0"/>
              <w:marTop w:val="0"/>
              <w:marBottom w:val="0"/>
              <w:divBdr>
                <w:top w:val="none" w:sz="0" w:space="0" w:color="auto"/>
                <w:left w:val="none" w:sz="0" w:space="0" w:color="auto"/>
                <w:bottom w:val="none" w:sz="0" w:space="0" w:color="auto"/>
                <w:right w:val="none" w:sz="0" w:space="0" w:color="auto"/>
              </w:divBdr>
              <w:divsChild>
                <w:div w:id="55196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2.xml" Id="rId8" /><Relationship Type="http://schemas.openxmlformats.org/officeDocument/2006/relationships/webSettings" Target="webSettings.xml" Id="rId3" /><Relationship Type="http://schemas.openxmlformats.org/officeDocument/2006/relationships/footer" Target="footer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endnotes" Target="endnotes.xml" Id="rId5" /><Relationship Type="http://schemas.openxmlformats.org/officeDocument/2006/relationships/theme" Target="theme/theme1.xml" Id="rId10" /><Relationship Type="http://schemas.openxmlformats.org/officeDocument/2006/relationships/footnotes" Target="footnote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Leonardo Ruiz Pérez</dc:creator>
  <keywords/>
  <dc:description/>
  <lastModifiedBy>Arturo Meza</lastModifiedBy>
  <revision>5</revision>
  <dcterms:created xsi:type="dcterms:W3CDTF">2020-11-21T15:43:00.0000000Z</dcterms:created>
  <dcterms:modified xsi:type="dcterms:W3CDTF">2025-08-25T21:37:50.5440442Z</dcterms:modified>
</coreProperties>
</file>