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color w:val="00206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  <w:color w:val="00206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002060"/>
          <w:sz w:val="28"/>
          <w:szCs w:val="28"/>
          <w:rtl w:val="0"/>
        </w:rPr>
        <w:t xml:space="preserve">ACADÉMICA DE APRENDIZAJE CONTINUO Y ACTUALIZACIÓN</w:t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b w:val="1"/>
          <w:color w:val="00206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2060"/>
          <w:sz w:val="24"/>
          <w:szCs w:val="24"/>
          <w:rtl w:val="0"/>
        </w:rPr>
        <w:t xml:space="preserve">PROGRAMA DE DIPLOMADOS DE ALTO RENDIMIENTO</w:t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b w:val="1"/>
          <w:color w:val="00206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2060"/>
          <w:sz w:val="24"/>
          <w:szCs w:val="24"/>
          <w:rtl w:val="0"/>
        </w:rPr>
        <w:t xml:space="preserve">Guión instruccional para el desarrollo del diplomado</w:t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4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980"/>
        <w:gridCol w:w="8462"/>
        <w:tblGridChange w:id="0">
          <w:tblGrid>
            <w:gridCol w:w="1980"/>
            <w:gridCol w:w="8462"/>
          </w:tblGrid>
        </w:tblGridChange>
      </w:tblGrid>
      <w:tr>
        <w:trPr>
          <w:cantSplit w:val="0"/>
          <w:trHeight w:val="651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2f5496" w:val="clear"/>
          </w:tcPr>
          <w:p w:rsidR="00000000" w:rsidDel="00000000" w:rsidP="00000000" w:rsidRDefault="00000000" w:rsidRPr="00000000" w14:paraId="00000006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Nombre del diplomado</w:t>
            </w:r>
          </w:p>
          <w:p w:rsidR="00000000" w:rsidDel="00000000" w:rsidP="00000000" w:rsidRDefault="00000000" w:rsidRPr="00000000" w14:paraId="00000008">
            <w:pPr>
              <w:spacing w:after="160" w:line="259" w:lineRule="auto"/>
              <w:rPr>
                <w:rFonts w:ascii="Arial" w:cs="Arial" w:eastAsia="Arial" w:hAnsi="Arial"/>
                <w:b w:val="0"/>
                <w:color w:val="8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9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  <w:color w:val="80000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800000"/>
                <w:u w:val="single"/>
                <w:rtl w:val="0"/>
              </w:rPr>
              <w:t xml:space="preserve">Dermatología Clínica</w:t>
            </w:r>
          </w:p>
        </w:tc>
      </w:tr>
    </w:tbl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color w:val="800000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980"/>
        <w:gridCol w:w="8505"/>
        <w:tblGridChange w:id="0">
          <w:tblGrid>
            <w:gridCol w:w="1980"/>
            <w:gridCol w:w="8505"/>
          </w:tblGrid>
        </w:tblGridChange>
      </w:tblGrid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0B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Nombre de la unidad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ind w:left="70" w:firstLine="0"/>
              <w:jc w:val="both"/>
              <w:rPr>
                <w:rFonts w:ascii="Arial" w:cs="Arial" w:eastAsia="Arial" w:hAnsi="Arial"/>
                <w:b w:val="0"/>
                <w:i w:val="1"/>
                <w:color w:val="80808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Arial" w:cs="Arial" w:eastAsia="Arial" w:hAnsi="Arial"/>
                <w:b w:val="0"/>
                <w:color w:val="ff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jc w:val="center"/>
              <w:rPr>
                <w:rFonts w:ascii="Arial" w:cs="Arial" w:eastAsia="Arial" w:hAnsi="Arial"/>
                <w:b w:val="0"/>
                <w:color w:val="ff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Fonts w:ascii="Arial" w:cs="Arial" w:eastAsia="Arial" w:hAnsi="Arial"/>
                <w:color w:val="ff0000"/>
                <w:u w:val="single"/>
                <w:rtl w:val="0"/>
              </w:rPr>
              <w:t xml:space="preserve">Sesión 6. Dermoestética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11">
            <w:pPr>
              <w:spacing w:after="160" w:line="259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Introducción del Bloque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4">
            <w:pPr>
              <w:ind w:left="70" w:firstLine="0"/>
              <w:jc w:val="center"/>
              <w:rPr>
                <w:rFonts w:ascii="Arial" w:cs="Arial" w:eastAsia="Arial" w:hAnsi="Arial"/>
                <w:b w:val="1"/>
                <w:color w:val="ff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ind w:left="70" w:firstLine="0"/>
              <w:jc w:val="both"/>
              <w:rPr>
                <w:rFonts w:ascii="Arial" w:cs="Arial" w:eastAsia="Arial" w:hAnsi="Arial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ind w:left="7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En esta sesión exploraremos el envejecimiento cutáneo, aparatología para retardar y para rejuvenecer la piel, peelings, toxina botulínica y rellenos, terapias con láser, plasma rico en plaquetas, ultrasonido, terapias regenerativas y células madre.</w:t>
            </w:r>
          </w:p>
          <w:p w:rsidR="00000000" w:rsidDel="00000000" w:rsidP="00000000" w:rsidRDefault="00000000" w:rsidRPr="00000000" w14:paraId="00000017">
            <w:pPr>
              <w:ind w:left="7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18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Objetivo de la sesión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C">
            <w:pPr>
              <w:keepNext w:val="1"/>
              <w:keepLines w:val="1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highlight w:val="white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1"/>
              <w:keepLines w:val="1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highlight w:val="white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1"/>
              <w:keepLines w:val="1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1"/>
              <w:keepLines w:val="1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70c0"/>
                <w:sz w:val="22"/>
                <w:szCs w:val="22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Conocer </w:t>
            </w: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cómo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 se presenta la sintomatología y clínica del envejecimiento cutáneo, tratamientos estéticos, peelings, microdermoabrasión, toxina botulínica y rellenos, terapias láser, láser ablativo y fraccionado, radiofrecuencia e hifu, PRP y Factores de crecimiento, terapias regenerativas y células madre.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20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Lecturas y recursos a revisar previo a la sesión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70c0"/>
                <w:sz w:val="22"/>
                <w:szCs w:val="22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70c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 esta sesión el único artículo que hay que dar una breve lectura por su complejidad y extensión es el siguiente.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Jafarzadeh, A., Pour Mohammad, A., Keramati, H. et al. Regenerative medicine in the treatment of specific dermatologic disorders: a systematic review of randomized controlled clinical trials. Stem Cell Res Ther 15, 176 (2024). https://doi.org/10.1186/s13287-024-03800-6.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28">
            <w:pPr>
              <w:spacing w:after="160" w:line="259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Videos temáticos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Arial" w:cs="Arial" w:eastAsia="Arial" w:hAnsi="Arial"/>
                <w:b w:val="1"/>
                <w:color w:val="c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jc w:val="center"/>
              <w:rPr>
                <w:rFonts w:ascii="Arial" w:cs="Arial" w:eastAsia="Arial" w:hAnsi="Arial"/>
                <w:b w:val="1"/>
                <w:color w:val="c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hyperlink r:id="rId7">
              <w:r w:rsidDel="00000000" w:rsidR="00000000" w:rsidRPr="00000000">
                <w:rPr>
                  <w:rFonts w:ascii="Arial" w:cs="Arial" w:eastAsia="Arial" w:hAnsi="Arial"/>
                  <w:b w:val="0"/>
                  <w:i w:val="0"/>
                  <w:smallCaps w:val="0"/>
                  <w:strike w:val="0"/>
                  <w:color w:val="0563c1"/>
                  <w:sz w:val="22"/>
                  <w:szCs w:val="22"/>
                  <w:u w:val="single"/>
                  <w:shd w:fill="auto" w:val="clear"/>
                  <w:vertAlign w:val="baseline"/>
                  <w:rtl w:val="0"/>
                </w:rPr>
                <w:t xml:space="preserve">https://youtube.com/shorts/EEO_p5noMtQ?si=llVTjoq1QHmDAnfP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hyperlink r:id="rId8">
              <w:r w:rsidDel="00000000" w:rsidR="00000000" w:rsidRPr="00000000">
                <w:rPr>
                  <w:rFonts w:ascii="Arial" w:cs="Arial" w:eastAsia="Arial" w:hAnsi="Arial"/>
                  <w:b w:val="0"/>
                  <w:i w:val="0"/>
                  <w:smallCaps w:val="0"/>
                  <w:strike w:val="0"/>
                  <w:color w:val="0563c1"/>
                  <w:sz w:val="22"/>
                  <w:szCs w:val="22"/>
                  <w:u w:val="single"/>
                  <w:shd w:fill="auto" w:val="clear"/>
                  <w:vertAlign w:val="baseline"/>
                  <w:rtl w:val="0"/>
                </w:rPr>
                <w:t xml:space="preserve">https://youtube.com/shorts/NDTPIa2IaFI?si=w2ABFxv70Xe3_RE-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Este es un video didáctico de una de las formas que hay para eliminar lesiones por VPH utilizando Laser de Co2.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32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Bibliografía complementaria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5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center"/>
              <w:rPr>
                <w:rFonts w:ascii="Arial" w:cs="Arial" w:eastAsia="Arial" w:hAnsi="Arial"/>
                <w:b w:val="1"/>
                <w:color w:val="c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jc w:val="center"/>
              <w:rPr>
                <w:rFonts w:ascii="Arial" w:cs="Arial" w:eastAsia="Arial" w:hAnsi="Arial"/>
                <w:b w:val="1"/>
                <w:color w:val="c0000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Jafarzadeh, A., Pour Mohammad, A., Keramati, H. et al. Regenerative medicine in the treatment of specific dermatologic disorders: a systematic review of randomized controlled clinical trials. Stem Cell Res Ther 15, 176 (2024). https://doi.org/10.1186/s13287-024-03800-6.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Tresguerres, J. A. F.. (2018).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 Medicina Estética y Antienvejecimiento.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Panamericana.</w:t>
            </w:r>
          </w:p>
          <w:p w:rsidR="00000000" w:rsidDel="00000000" w:rsidP="00000000" w:rsidRDefault="00000000" w:rsidRPr="00000000" w14:paraId="00000039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Bielsa, I. (2025).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Ferrándiz Dermatología Clínica. Elsevier.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Vidurrizaga, C. Esparza, P. Deltell, J. Amselem, M., (2021).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Medicina Estética, abordaje terapéutico.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Panamericana.</w:t>
            </w:r>
          </w:p>
          <w:p w:rsidR="00000000" w:rsidDel="00000000" w:rsidP="00000000" w:rsidRDefault="00000000" w:rsidRPr="00000000" w14:paraId="0000003B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br w:type="textWrapping"/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3C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spacing w:after="160" w:line="259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Actividad de integración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Quattrocento Sans" w:cs="Quattrocento Sans" w:eastAsia="Quattrocento Sans" w:hAnsi="Quattrocento Sans"/>
                <w:color w:val="0070c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rtl w:val="0"/>
              </w:rPr>
              <w:t xml:space="preserve">*</w:t>
            </w: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Instrucción para el docente: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rtl w:val="0"/>
              </w:rPr>
              <w:t xml:space="preserve">🕒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1. Inicio</w:t>
            </w:r>
          </w:p>
          <w:p w:rsidR="00000000" w:rsidDel="00000000" w:rsidP="00000000" w:rsidRDefault="00000000" w:rsidRPr="00000000" w14:paraId="0000004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Propósito: Brindar contexto y activar conocimientos previos.</w:t>
            </w:r>
          </w:p>
          <w:p w:rsidR="00000000" w:rsidDel="00000000" w:rsidP="00000000" w:rsidRDefault="00000000" w:rsidRPr="00000000" w14:paraId="0000004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Acción del docente: 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Explicar el objetivo y el contenido de la sesión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Motivar al grupo con una breve presentación del tema, ejemplo o pregunta detonadora.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Preguntas de reflexión</w:t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Establecer las herramientas que se utilizarán y cómo se organizarán (individual, parejas, equipos).</w:t>
            </w:r>
          </w:p>
          <w:p w:rsidR="00000000" w:rsidDel="00000000" w:rsidP="00000000" w:rsidRDefault="00000000" w:rsidRPr="00000000" w14:paraId="0000004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rtl w:val="0"/>
              </w:rPr>
              <w:t xml:space="preserve">🧠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2. Desarrollo</w:t>
            </w:r>
          </w:p>
          <w:p w:rsidR="00000000" w:rsidDel="00000000" w:rsidP="00000000" w:rsidRDefault="00000000" w:rsidRPr="00000000" w14:paraId="0000005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rtl w:val="0"/>
              </w:rPr>
              <w:t xml:space="preserve">🩺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Este bloque, aunque no es complejo es demasiado extenso por lo que se le informará a los estudiantes y se les enviará la presentación de diapositivas para que vayan dando una leída o un vistazo a las diapositivas ya que probablemente no alcancemos a terminar la presentación por lo que se les indicará desde el inicio que las dudas que tengan las envíen por whatssapp   </w:t>
            </w:r>
          </w:p>
          <w:p w:rsidR="00000000" w:rsidDel="00000000" w:rsidP="00000000" w:rsidRDefault="00000000" w:rsidRPr="00000000" w14:paraId="0000005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rtl w:val="0"/>
              </w:rPr>
              <w:t xml:space="preserve">💬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3. Cierre o Conclusión</w:t>
            </w:r>
          </w:p>
          <w:p w:rsidR="00000000" w:rsidDel="00000000" w:rsidP="00000000" w:rsidRDefault="00000000" w:rsidRPr="00000000" w14:paraId="0000005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Propósito: Compartir aprendizajes y reflexionar en colectivo.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Acción del estudiante: Exponer brevemente los productos o ideas generadas.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Acción del docente: Guiar una síntesis de los aprendizajes clave. Recuperar las aportaciones del grupo y relacionarlas con los objetivos de la sesión.</w:t>
            </w:r>
          </w:p>
          <w:p w:rsidR="00000000" w:rsidDel="00000000" w:rsidP="00000000" w:rsidRDefault="00000000" w:rsidRPr="00000000" w14:paraId="00000057">
            <w:pPr>
              <w:rPr>
                <w:rFonts w:ascii="Arial" w:cs="Arial" w:eastAsia="Arial" w:hAnsi="Arial"/>
                <w:color w:val="0070c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58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Evaluación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8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 evaluará mediante una evaluación con la plataforma de forms de opción múltiple.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65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Foro de discusión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6">
            <w:pPr>
              <w:spacing w:after="240" w:before="240" w:lineRule="auto"/>
              <w:jc w:val="center"/>
              <w:rPr>
                <w:rFonts w:ascii="Arial" w:cs="Arial" w:eastAsia="Arial" w:hAnsi="Arial"/>
                <w:b w:val="1"/>
                <w:color w:val="c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jc w:val="both"/>
              <w:rPr>
                <w:rFonts w:ascii="Arial" w:cs="Arial" w:eastAsia="Arial" w:hAnsi="Arial"/>
                <w:b w:val="1"/>
                <w:color w:val="8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Se anexarán las bibliografías en formato apa 7 al final de la presentación.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78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Conclusiones de la sesión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8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8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8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 lo largo de esta sesión exploramos qué es el envejecimiento cutáneo, tratamientos diversos no invasivos que podemos utilizar, diversas terapias, aparatología, y terapias mas avanzadas como las regenerativas y de células madre.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1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footerReference r:id="rId9" w:type="default"/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Quattrocento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oto Sans Symbols">
    <w:embedRegular w:fontKey="{00000000-0000-0000-0000-000000000000}" r:id="rId9" w:subsetted="0"/>
    <w:embedBold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1"/>
        <w:strike w:val="0"/>
        <w:color w:val="4472c4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1"/>
        <w:strike w:val="0"/>
        <w:color w:val="4472c4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0" w:line="240" w:lineRule="auto"/>
      <w:jc w:val="center"/>
    </w:pPr>
    <w:rPr>
      <w:rFonts w:ascii="Roboto" w:cs="Roboto" w:eastAsia="Roboto" w:hAnsi="Roboto"/>
      <w:color w:val="ffffff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472c4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Fuentedeprrafopredeter" w:default="1">
    <w:name w:val="Default Paragraph Font"/>
    <w:uiPriority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674990"/>
  </w:style>
  <w:style w:type="paragraph" w:styleId="Piedepgina">
    <w:name w:val="footer"/>
    <w:basedOn w:val="Normal"/>
    <w:link w:val="PiedepginaCar"/>
    <w:uiPriority w:val="99"/>
    <w:unhideWhenUsed w:val="1"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674990"/>
  </w:style>
  <w:style w:type="paragraph" w:styleId="Revisin">
    <w:name w:val="Revision"/>
    <w:hidden w:val="1"/>
    <w:uiPriority w:val="99"/>
    <w:semiHidden w:val="1"/>
    <w:rsid w:val="00674990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74990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aconcuadrcula4-nfasis51" w:customStyle="1">
    <w:name w:val="Tabla con cuadrícula 4 - Énfasis 51"/>
    <w:basedOn w:val="Tablanormal"/>
    <w:uiPriority w:val="49"/>
    <w:rsid w:val="00674990"/>
    <w:pPr>
      <w:spacing w:after="0" w:line="240" w:lineRule="auto"/>
    </w:pPr>
    <w:tblPr>
      <w:tblStyleRowBandSize w:val="1"/>
      <w:tblStyleColBandSize w:val="1"/>
      <w:tblBorders>
        <w:top w:color="9cc2e5" w:space="0" w:sz="4" w:themeColor="accent5" w:themeTint="000099" w:val="single"/>
        <w:left w:color="9cc2e5" w:space="0" w:sz="4" w:themeColor="accent5" w:themeTint="000099" w:val="single"/>
        <w:bottom w:color="9cc2e5" w:space="0" w:sz="4" w:themeColor="accent5" w:themeTint="000099" w:val="single"/>
        <w:right w:color="9cc2e5" w:space="0" w:sz="4" w:themeColor="accent5" w:themeTint="000099" w:val="single"/>
        <w:insideH w:color="9cc2e5" w:space="0" w:sz="4" w:themeColor="accent5" w:themeTint="000099" w:val="single"/>
        <w:insideV w:color="9cc2e5" w:space="0" w:sz="4" w:themeColor="accent5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5b9bd5" w:space="0" w:sz="4" w:themeColor="accent5" w:val="single"/>
          <w:left w:color="5b9bd5" w:space="0" w:sz="4" w:themeColor="accent5" w:val="single"/>
          <w:bottom w:color="5b9bd5" w:space="0" w:sz="4" w:themeColor="accent5" w:val="single"/>
          <w:right w:color="5b9bd5" w:space="0" w:sz="4" w:themeColor="accent5" w:val="single"/>
          <w:insideH w:space="0" w:sz="0" w:val="nil"/>
          <w:insideV w:space="0" w:sz="0" w:val="nil"/>
        </w:tcBorders>
        <w:shd w:color="auto" w:fill="5b9bd5" w:themeFill="accent5" w:val="clear"/>
      </w:tcPr>
    </w:tblStylePr>
    <w:tblStylePr w:type="lastRow">
      <w:rPr>
        <w:b w:val="1"/>
        <w:bCs w:val="1"/>
      </w:rPr>
      <w:tblPr/>
      <w:tcPr>
        <w:tcBorders>
          <w:top w:color="5b9bd5" w:space="0" w:sz="4" w:themeColor="accent5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eeaf6" w:themeFill="accent5" w:themeFillTint="000033" w:val="clear"/>
      </w:tcPr>
    </w:tblStylePr>
    <w:tblStylePr w:type="band1Horz">
      <w:tblPr/>
      <w:tcPr>
        <w:shd w:color="auto" w:fill="deeaf6" w:themeFill="accent5" w:themeFillTint="000033" w:val="clear"/>
      </w:tcPr>
    </w:tblStylePr>
  </w:style>
  <w:style w:type="table" w:styleId="Tablaconcuadrcula5oscura-nfasis11" w:customStyle="1">
    <w:name w:val="Tabla con cuadrícula 5 oscura - Énfasis 11"/>
    <w:basedOn w:val="Tablanormal"/>
    <w:uiPriority w:val="50"/>
    <w:rsid w:val="00674990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9e2f3" w:themeFill="accen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472c4" w:themeFill="accen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472c4" w:themeFill="accen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4472c4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4472c4" w:themeFill="accent1" w:val="clear"/>
      </w:tcPr>
    </w:tblStylePr>
    <w:tblStylePr w:type="band1Vert">
      <w:tblPr/>
      <w:tcPr>
        <w:shd w:color="auto" w:fill="b4c6e7" w:themeFill="accent1" w:themeFillTint="000066" w:val="clear"/>
      </w:tcPr>
    </w:tblStylePr>
    <w:tblStylePr w:type="band1Horz">
      <w:tblPr/>
      <w:tcPr>
        <w:shd w:color="auto" w:fill="b4c6e7" w:themeFill="accent1" w:themeFillTint="000066" w:val="clear"/>
      </w:tcPr>
    </w:tblStylePr>
  </w:style>
  <w:style w:type="table" w:styleId="Tablaconcuadrcula5oscura-nfasis51" w:customStyle="1">
    <w:name w:val="Tabla con cuadrícula 5 oscura - Énfasis 51"/>
    <w:basedOn w:val="Tablanormal"/>
    <w:uiPriority w:val="50"/>
    <w:rsid w:val="006D61DC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eeaf6" w:themeFill="accent5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5b9bd5" w:themeFill="accent5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5b9bd5" w:themeFill="accent5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5b9bd5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5b9bd5" w:themeFill="accent5" w:val="clear"/>
      </w:tcPr>
    </w:tblStylePr>
    <w:tblStylePr w:type="band1Vert">
      <w:tblPr/>
      <w:tcPr>
        <w:shd w:color="auto" w:fill="bdd6ee" w:themeFill="accent5" w:themeFillTint="000066" w:val="clear"/>
      </w:tcPr>
    </w:tblStylePr>
    <w:tblStylePr w:type="band1Horz">
      <w:tblPr/>
      <w:tcPr>
        <w:shd w:color="auto" w:fill="bdd6ee" w:themeFill="accent5" w:themeFillTint="000066" w:val="clear"/>
      </w:tcPr>
    </w:tblStylePr>
  </w:style>
  <w:style w:type="paragraph" w:styleId="NormalWeb">
    <w:name w:val="Normal (Web)"/>
    <w:basedOn w:val="Normal"/>
    <w:uiPriority w:val="99"/>
    <w:unhideWhenUsed w:val="1"/>
    <w:rsid w:val="00EF3896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 w:val="1"/>
    <w:rsid w:val="009E2580"/>
    <w:pPr>
      <w:ind w:left="720"/>
      <w:contextualSpacing w:val="1"/>
    </w:pPr>
  </w:style>
  <w:style w:type="character" w:styleId="Hipervnculo">
    <w:name w:val="Hyperlink"/>
    <w:basedOn w:val="Fuentedeprrafopredeter"/>
    <w:uiPriority w:val="99"/>
    <w:unhideWhenUsed w:val="1"/>
    <w:rsid w:val="008D30E3"/>
    <w:rPr>
      <w:color w:val="0563c1" w:themeColor="hyperlink"/>
      <w:u w:val="single"/>
    </w:rPr>
  </w:style>
  <w:style w:type="character" w:styleId="Mencinsinresolver1" w:customStyle="1">
    <w:name w:val="Mención sin resolver1"/>
    <w:basedOn w:val="Fuentedeprrafopredeter"/>
    <w:uiPriority w:val="99"/>
    <w:semiHidden w:val="1"/>
    <w:unhideWhenUsed w:val="1"/>
    <w:rsid w:val="008D30E3"/>
    <w:rPr>
      <w:color w:val="605e5c"/>
      <w:shd w:color="auto" w:fill="e1dfdd" w:val="clear"/>
    </w:rPr>
  </w:style>
  <w:style w:type="character" w:styleId="apple-tab-span" w:customStyle="1">
    <w:name w:val="apple-tab-span"/>
    <w:basedOn w:val="Fuentedeprrafopredeter"/>
    <w:rsid w:val="00FD0BE2"/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10600B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10600B"/>
    <w:rPr>
      <w:rFonts w:ascii="Segoe UI" w:cs="Segoe UI" w:hAnsi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 w:val="1"/>
    <w:unhideWhenUsed w:val="1"/>
    <w:rsid w:val="00811C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 w:val="1"/>
    <w:rsid w:val="00811C4F"/>
    <w:pPr>
      <w:spacing w:line="240" w:lineRule="auto"/>
    </w:pPr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rsid w:val="00811C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 w:val="1"/>
    <w:unhideWhenUsed w:val="1"/>
    <w:rsid w:val="00811C4F"/>
    <w:rPr>
      <w:b w:val="1"/>
      <w:bCs w:val="1"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 w:val="1"/>
    <w:rsid w:val="00811C4F"/>
    <w:rPr>
      <w:b w:val="1"/>
      <w:bCs w:val="1"/>
      <w:sz w:val="20"/>
      <w:szCs w:val="20"/>
    </w:rPr>
  </w:style>
  <w:style w:type="character" w:styleId="Mencinsinresolver2" w:customStyle="1">
    <w:name w:val="Mención sin resolver2"/>
    <w:basedOn w:val="Fuentedeprrafopredeter"/>
    <w:uiPriority w:val="99"/>
    <w:semiHidden w:val="1"/>
    <w:unhideWhenUsed w:val="1"/>
    <w:rsid w:val="009405E0"/>
    <w:rPr>
      <w:color w:val="605e5c"/>
      <w:shd w:color="auto" w:fill="e1dfdd" w:val="clear"/>
    </w:rPr>
  </w:style>
  <w:style w:type="character" w:styleId="Ttulo1Car" w:customStyle="1">
    <w:name w:val="Título 1 Car"/>
    <w:basedOn w:val="Fuentedeprrafopredeter"/>
    <w:link w:val="Ttulo1"/>
    <w:rsid w:val="000211A8"/>
    <w:rPr>
      <w:rFonts w:ascii="Roboto" w:cs="Roboto" w:eastAsia="Roboto" w:hAnsi="Roboto"/>
      <w:color w:val="ffffff"/>
      <w:sz w:val="24"/>
      <w:szCs w:val="24"/>
      <w:lang w:eastAsia="es-MX" w:val="es-ES_tradnl"/>
    </w:rPr>
  </w:style>
  <w:style w:type="paragraph" w:styleId="Standard" w:customStyle="1">
    <w:name w:val="Standard"/>
    <w:rsid w:val="00BE0067"/>
    <w:pPr>
      <w:suppressAutoHyphens w:val="1"/>
      <w:autoSpaceDN w:val="0"/>
      <w:spacing w:after="0" w:line="240" w:lineRule="auto"/>
      <w:textAlignment w:val="baseline"/>
    </w:pPr>
    <w:rPr>
      <w:rFonts w:ascii="Cambria" w:cs="Cambria" w:eastAsia="Cambria" w:hAnsi="Cambria"/>
      <w:kern w:val="3"/>
      <w:sz w:val="24"/>
      <w:szCs w:val="24"/>
      <w:lang w:eastAsia="es-MX"/>
    </w:rPr>
  </w:style>
  <w:style w:type="character" w:styleId="Ttulo2Car" w:customStyle="1">
    <w:name w:val="Título 2 Car"/>
    <w:basedOn w:val="Fuentedeprrafopredeter"/>
    <w:link w:val="Ttulo2"/>
    <w:uiPriority w:val="9"/>
    <w:semiHidden w:val="1"/>
    <w:rsid w:val="000D06AA"/>
    <w:rPr>
      <w:rFonts w:asciiTheme="majorHAnsi" w:cstheme="majorBidi" w:eastAsiaTheme="majorEastAsia" w:hAnsiTheme="majorHAnsi"/>
      <w:b w:val="1"/>
      <w:bCs w:val="1"/>
      <w:color w:val="4472c4" w:themeColor="accent1"/>
      <w:sz w:val="26"/>
      <w:szCs w:val="26"/>
    </w:rPr>
  </w:style>
  <w:style w:type="paragraph" w:styleId="Sinespaciado">
    <w:name w:val="No Spacing"/>
    <w:uiPriority w:val="1"/>
    <w:qFormat w:val="1"/>
    <w:rsid w:val="006676C4"/>
    <w:pPr>
      <w:spacing w:after="0" w:line="240" w:lineRule="auto"/>
    </w:pPr>
  </w:style>
  <w:style w:type="numbering" w:styleId="WWNum12" w:customStyle="1">
    <w:name w:val="WWNum12"/>
    <w:basedOn w:val="Sinlista"/>
    <w:rsid w:val="003B327B"/>
    <w:pPr>
      <w:numPr>
        <w:numId w:val="6"/>
      </w:numPr>
    </w:pPr>
  </w:style>
  <w:style w:type="numbering" w:styleId="WWNum18" w:customStyle="1">
    <w:name w:val="WWNum18"/>
    <w:basedOn w:val="Sinlista"/>
    <w:rsid w:val="003B327B"/>
    <w:pPr>
      <w:numPr>
        <w:numId w:val="7"/>
      </w:numPr>
    </w:pPr>
  </w:style>
  <w:style w:type="numbering" w:styleId="WWNum21" w:customStyle="1">
    <w:name w:val="WWNum21"/>
    <w:basedOn w:val="Sinlista"/>
    <w:rsid w:val="003B327B"/>
    <w:pPr>
      <w:numPr>
        <w:numId w:val="8"/>
      </w:numPr>
    </w:pPr>
  </w:style>
  <w:style w:type="character" w:styleId="tl8wme" w:customStyle="1">
    <w:name w:val="tl8wme"/>
    <w:basedOn w:val="Fuentedeprrafopredeter"/>
    <w:rsid w:val="004777D0"/>
  </w:style>
  <w:style w:type="character" w:styleId="Hipervnculovisitado">
    <w:name w:val="FollowedHyperlink"/>
    <w:basedOn w:val="Fuentedeprrafopredeter"/>
    <w:uiPriority w:val="99"/>
    <w:semiHidden w:val="1"/>
    <w:unhideWhenUsed w:val="1"/>
    <w:rsid w:val="009353F6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 w:val="1"/>
    <w:unhideWhenUsed w:val="1"/>
    <w:rsid w:val="00B34B6F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9e2f3" w:val="clear"/>
    </w:tcPr>
    <w:tblStylePr w:type="band1Horz">
      <w:tcPr>
        <w:shd w:fill="b4c6e7" w:val="clear"/>
      </w:tcPr>
    </w:tblStylePr>
    <w:tblStylePr w:type="band1Vert">
      <w:tcPr>
        <w:shd w:fill="b4c6e7" w:val="clear"/>
      </w:tcPr>
    </w:tblStylePr>
    <w:tblStylePr w:type="firstCol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4472c4" w:val="clear"/>
      </w:tcPr>
    </w:tblStylePr>
    <w:tblStylePr w:type="firstRow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  <w:tblStylePr w:type="lastCol">
      <w:rPr>
        <w:b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4472c4" w:val="clear"/>
      </w:tcPr>
    </w:tblStylePr>
    <w:tblStylePr w:type="lastRow">
      <w:rPr>
        <w:b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eebf6" w:val="clear"/>
    </w:tcPr>
    <w:tblStylePr w:type="band1Horz">
      <w:tcPr>
        <w:shd w:fill="bdd7ee" w:val="clear"/>
      </w:tcPr>
    </w:tblStylePr>
    <w:tblStylePr w:type="band1Vert">
      <w:tcPr>
        <w:shd w:fill="bdd7ee" w:val="clear"/>
      </w:tcPr>
    </w:tblStylePr>
    <w:tblStylePr w:type="firstCol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5b9bd5" w:val="clear"/>
      </w:tcPr>
    </w:tblStylePr>
    <w:tblStylePr w:type="firstRow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  <w:tblStylePr w:type="lastCol">
      <w:rPr>
        <w:b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5b9bd5" w:val="clear"/>
      </w:tcPr>
    </w:tblStylePr>
    <w:tblStylePr w:type="lastRow">
      <w:rPr>
        <w:b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youtube.com/shorts/EEO_p5noMtQ?si=llVTjoq1QHmDAnfP" TargetMode="External"/><Relationship Id="rId8" Type="http://schemas.openxmlformats.org/officeDocument/2006/relationships/hyperlink" Target="https://youtube.com/shorts/NDTPIa2IaFI?si=w2ABFxv70Xe3_RE-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10" Type="http://schemas.openxmlformats.org/officeDocument/2006/relationships/font" Target="fonts/NotoSansSymbols-bold.ttf"/><Relationship Id="rId9" Type="http://schemas.openxmlformats.org/officeDocument/2006/relationships/font" Target="fonts/NotoSansSymbols-regular.ttf"/><Relationship Id="rId5" Type="http://schemas.openxmlformats.org/officeDocument/2006/relationships/font" Target="fonts/QuattrocentoSans-regular.ttf"/><Relationship Id="rId6" Type="http://schemas.openxmlformats.org/officeDocument/2006/relationships/font" Target="fonts/QuattrocentoSans-bold.ttf"/><Relationship Id="rId7" Type="http://schemas.openxmlformats.org/officeDocument/2006/relationships/font" Target="fonts/QuattrocentoSans-italic.ttf"/><Relationship Id="rId8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Q1s9ZpMhIbsyB/u/G0K1nP9o1A==">CgMxLjA4AHIhMXg0cm9hOGdhTU1wMmdzalExNXgxUzBXS0lHYzZQSDd1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2025-09-19T03:10:00Z</dcterms:created>
  <dc:creator>Viviana Toledo Aranda</dc:creator>
</cp:coreProperties>
</file>